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6DF1" w:rsidRDefault="00000000">
      <w:pPr>
        <w:jc w:val="center"/>
        <w:rPr>
          <w:rFonts w:ascii="Roboto" w:eastAsia="Roboto" w:hAnsi="Roboto" w:cs="Roboto"/>
          <w:b/>
          <w:color w:val="202124"/>
          <w:sz w:val="28"/>
          <w:szCs w:val="28"/>
          <w:highlight w:val="white"/>
        </w:rPr>
      </w:pPr>
      <w:r>
        <w:rPr>
          <w:rFonts w:ascii="Roboto" w:eastAsia="Roboto" w:hAnsi="Roboto" w:cs="Roboto"/>
          <w:b/>
          <w:color w:val="202124"/>
          <w:sz w:val="28"/>
          <w:szCs w:val="28"/>
          <w:highlight w:val="white"/>
        </w:rPr>
        <w:t>Towards implementing UDL in teacher preparation: prospects and challenges in project-based assessment</w:t>
      </w:r>
    </w:p>
    <w:p w14:paraId="00000002" w14:textId="77777777" w:rsidR="00176DF1" w:rsidRPr="00FC4D44" w:rsidRDefault="00000000">
      <w:pPr>
        <w:spacing w:before="240"/>
        <w:jc w:val="center"/>
        <w:rPr>
          <w:b/>
          <w:color w:val="333333"/>
          <w:highlight w:val="white"/>
          <w:lang w:val="fr-FR"/>
        </w:rPr>
      </w:pPr>
      <w:r>
        <w:rPr>
          <w:b/>
        </w:rPr>
        <w:t xml:space="preserve"> </w:t>
      </w:r>
      <w:r w:rsidRPr="00FC4D44">
        <w:rPr>
          <w:b/>
          <w:color w:val="333333"/>
          <w:highlight w:val="white"/>
          <w:lang w:val="fr-FR"/>
        </w:rPr>
        <w:t xml:space="preserve">Latifa </w:t>
      </w:r>
      <w:proofErr w:type="spellStart"/>
      <w:r w:rsidRPr="00FC4D44">
        <w:rPr>
          <w:b/>
          <w:color w:val="333333"/>
          <w:highlight w:val="white"/>
          <w:lang w:val="fr-FR"/>
        </w:rPr>
        <w:t>Hafdi</w:t>
      </w:r>
      <w:proofErr w:type="spellEnd"/>
      <w:r w:rsidRPr="00FC4D44">
        <w:rPr>
          <w:b/>
          <w:color w:val="333333"/>
          <w:highlight w:val="white"/>
          <w:lang w:val="fr-FR"/>
        </w:rPr>
        <w:t xml:space="preserve"> Idrissi, </w:t>
      </w:r>
      <w:r w:rsidRPr="00FC4D44">
        <w:rPr>
          <w:b/>
          <w:lang w:val="fr-FR"/>
        </w:rPr>
        <w:t>Fatima-</w:t>
      </w:r>
      <w:proofErr w:type="spellStart"/>
      <w:r w:rsidRPr="00FC4D44">
        <w:rPr>
          <w:b/>
          <w:lang w:val="fr-FR"/>
        </w:rPr>
        <w:t>zahra</w:t>
      </w:r>
      <w:proofErr w:type="spellEnd"/>
      <w:r w:rsidRPr="00FC4D44">
        <w:rPr>
          <w:b/>
          <w:lang w:val="fr-FR"/>
        </w:rPr>
        <w:t xml:space="preserve"> </w:t>
      </w:r>
      <w:proofErr w:type="spellStart"/>
      <w:r w:rsidRPr="00FC4D44">
        <w:rPr>
          <w:b/>
          <w:lang w:val="fr-FR"/>
        </w:rPr>
        <w:t>Guerss</w:t>
      </w:r>
      <w:proofErr w:type="spellEnd"/>
      <w:r w:rsidRPr="00FC4D44">
        <w:rPr>
          <w:b/>
          <w:lang w:val="fr-FR"/>
        </w:rPr>
        <w:t>,</w:t>
      </w:r>
      <w:r w:rsidRPr="00FC4D44">
        <w:rPr>
          <w:b/>
          <w:color w:val="333333"/>
          <w:highlight w:val="white"/>
          <w:lang w:val="fr-FR"/>
        </w:rPr>
        <w:t xml:space="preserve"> Fatima Zahra </w:t>
      </w:r>
      <w:proofErr w:type="spellStart"/>
      <w:r w:rsidRPr="00FC4D44">
        <w:rPr>
          <w:b/>
          <w:color w:val="333333"/>
          <w:highlight w:val="white"/>
          <w:lang w:val="fr-FR"/>
        </w:rPr>
        <w:t>Sahli</w:t>
      </w:r>
      <w:proofErr w:type="spellEnd"/>
    </w:p>
    <w:p w14:paraId="00000003" w14:textId="77777777" w:rsidR="00176DF1" w:rsidRPr="00FC4D44" w:rsidRDefault="00000000">
      <w:pPr>
        <w:spacing w:before="240"/>
        <w:jc w:val="center"/>
        <w:rPr>
          <w:b/>
          <w:color w:val="333333"/>
          <w:sz w:val="21"/>
          <w:szCs w:val="21"/>
          <w:highlight w:val="white"/>
          <w:lang w:val="fr-FR"/>
        </w:rPr>
      </w:pPr>
      <w:r w:rsidRPr="00FC4D44">
        <w:rPr>
          <w:b/>
          <w:color w:val="333333"/>
          <w:sz w:val="21"/>
          <w:szCs w:val="21"/>
          <w:highlight w:val="white"/>
          <w:lang w:val="fr-FR"/>
        </w:rPr>
        <w:t xml:space="preserve">Littérature, Arts et Ingénierie Pédagogique, </w:t>
      </w:r>
    </w:p>
    <w:p w14:paraId="00000004" w14:textId="77777777" w:rsidR="00176DF1" w:rsidRPr="00FC4D44" w:rsidRDefault="00000000">
      <w:pPr>
        <w:spacing w:before="240"/>
        <w:jc w:val="center"/>
        <w:rPr>
          <w:b/>
          <w:color w:val="333333"/>
          <w:sz w:val="21"/>
          <w:szCs w:val="21"/>
          <w:highlight w:val="white"/>
          <w:lang w:val="fr-FR"/>
        </w:rPr>
      </w:pPr>
      <w:r w:rsidRPr="00FC4D44">
        <w:rPr>
          <w:b/>
          <w:color w:val="333333"/>
          <w:sz w:val="21"/>
          <w:szCs w:val="21"/>
          <w:highlight w:val="white"/>
          <w:lang w:val="fr-FR"/>
        </w:rPr>
        <w:t xml:space="preserve">Ibn </w:t>
      </w:r>
      <w:proofErr w:type="spellStart"/>
      <w:r w:rsidRPr="00FC4D44">
        <w:rPr>
          <w:b/>
          <w:color w:val="333333"/>
          <w:sz w:val="21"/>
          <w:szCs w:val="21"/>
          <w:highlight w:val="white"/>
          <w:lang w:val="fr-FR"/>
        </w:rPr>
        <w:t>Tofail</w:t>
      </w:r>
      <w:proofErr w:type="spellEnd"/>
      <w:r w:rsidRPr="00FC4D44">
        <w:rPr>
          <w:b/>
          <w:color w:val="333333"/>
          <w:sz w:val="21"/>
          <w:szCs w:val="21"/>
          <w:highlight w:val="white"/>
          <w:lang w:val="fr-FR"/>
        </w:rPr>
        <w:t xml:space="preserve"> </w:t>
      </w:r>
      <w:proofErr w:type="spellStart"/>
      <w:r w:rsidRPr="00FC4D44">
        <w:rPr>
          <w:b/>
          <w:color w:val="333333"/>
          <w:sz w:val="21"/>
          <w:szCs w:val="21"/>
          <w:highlight w:val="white"/>
          <w:lang w:val="fr-FR"/>
        </w:rPr>
        <w:t>University</w:t>
      </w:r>
      <w:proofErr w:type="spellEnd"/>
    </w:p>
    <w:p w14:paraId="00000005" w14:textId="77777777" w:rsidR="00176DF1" w:rsidRPr="00FC4D44" w:rsidRDefault="00000000">
      <w:pPr>
        <w:spacing w:before="240"/>
        <w:jc w:val="center"/>
        <w:rPr>
          <w:b/>
          <w:color w:val="222222"/>
          <w:sz w:val="21"/>
          <w:szCs w:val="21"/>
          <w:highlight w:val="white"/>
          <w:lang w:val="fr-FR"/>
        </w:rPr>
      </w:pPr>
      <w:hyperlink r:id="rId4">
        <w:r w:rsidRPr="00FC4D44">
          <w:rPr>
            <w:b/>
            <w:color w:val="1155CC"/>
            <w:sz w:val="21"/>
            <w:szCs w:val="21"/>
            <w:highlight w:val="white"/>
            <w:u w:val="single"/>
            <w:lang w:val="fr-FR"/>
          </w:rPr>
          <w:t>latifa.hafdiidrissi@uit.ac.ma</w:t>
        </w:r>
      </w:hyperlink>
      <w:r w:rsidRPr="00FC4D44">
        <w:rPr>
          <w:b/>
          <w:color w:val="333333"/>
          <w:sz w:val="21"/>
          <w:szCs w:val="21"/>
          <w:highlight w:val="white"/>
          <w:lang w:val="fr-FR"/>
        </w:rPr>
        <w:t xml:space="preserve">, </w:t>
      </w:r>
      <w:hyperlink r:id="rId5">
        <w:r w:rsidRPr="00FC4D44">
          <w:rPr>
            <w:b/>
            <w:color w:val="1155CC"/>
            <w:sz w:val="21"/>
            <w:szCs w:val="21"/>
            <w:highlight w:val="white"/>
            <w:u w:val="single"/>
            <w:lang w:val="fr-FR"/>
          </w:rPr>
          <w:t>fatimazahra.guerss@uit.ac.ma</w:t>
        </w:r>
      </w:hyperlink>
      <w:r w:rsidRPr="00FC4D44">
        <w:rPr>
          <w:b/>
          <w:color w:val="333333"/>
          <w:sz w:val="21"/>
          <w:szCs w:val="21"/>
          <w:highlight w:val="white"/>
          <w:lang w:val="fr-FR"/>
        </w:rPr>
        <w:t xml:space="preserve">, </w:t>
      </w:r>
      <w:hyperlink r:id="rId6">
        <w:r w:rsidRPr="00FC4D44">
          <w:rPr>
            <w:b/>
            <w:color w:val="1155CC"/>
            <w:sz w:val="21"/>
            <w:szCs w:val="21"/>
            <w:highlight w:val="white"/>
            <w:u w:val="single"/>
            <w:lang w:val="fr-FR"/>
          </w:rPr>
          <w:t>fatimazahra.sahli@uit.ac.ma</w:t>
        </w:r>
      </w:hyperlink>
      <w:r w:rsidRPr="00FC4D44">
        <w:rPr>
          <w:b/>
          <w:color w:val="222222"/>
          <w:sz w:val="21"/>
          <w:szCs w:val="21"/>
          <w:highlight w:val="white"/>
          <w:lang w:val="fr-FR"/>
        </w:rPr>
        <w:t xml:space="preserve"> </w:t>
      </w:r>
    </w:p>
    <w:p w14:paraId="00000006" w14:textId="77777777" w:rsidR="00176DF1" w:rsidRPr="00FC4D44" w:rsidRDefault="00176DF1">
      <w:pPr>
        <w:rPr>
          <w:rFonts w:ascii="Roboto" w:eastAsia="Roboto" w:hAnsi="Roboto" w:cs="Roboto"/>
          <w:color w:val="202124"/>
          <w:sz w:val="24"/>
          <w:szCs w:val="24"/>
          <w:highlight w:val="white"/>
          <w:lang w:val="fr-FR"/>
        </w:rPr>
      </w:pPr>
    </w:p>
    <w:p w14:paraId="00000007" w14:textId="77777777" w:rsidR="00176DF1" w:rsidRPr="00FC4D44" w:rsidRDefault="00176DF1">
      <w:pPr>
        <w:rPr>
          <w:rFonts w:ascii="Roboto" w:eastAsia="Roboto" w:hAnsi="Roboto" w:cs="Roboto"/>
          <w:color w:val="202124"/>
          <w:sz w:val="24"/>
          <w:szCs w:val="24"/>
          <w:highlight w:val="white"/>
          <w:lang w:val="fr-FR"/>
        </w:rPr>
      </w:pPr>
    </w:p>
    <w:p w14:paraId="00000008" w14:textId="77777777" w:rsidR="00176DF1" w:rsidRPr="00FC4D44" w:rsidRDefault="00000000">
      <w:pPr>
        <w:rPr>
          <w:rFonts w:ascii="Roboto" w:eastAsia="Roboto" w:hAnsi="Roboto" w:cs="Roboto"/>
          <w:color w:val="202124"/>
          <w:sz w:val="24"/>
          <w:szCs w:val="24"/>
          <w:highlight w:val="white"/>
          <w:lang w:val="fr-FR"/>
        </w:rPr>
      </w:pPr>
      <w:r w:rsidRPr="00FC4D44">
        <w:rPr>
          <w:rFonts w:ascii="Roboto" w:eastAsia="Roboto" w:hAnsi="Roboto" w:cs="Roboto"/>
          <w:color w:val="202124"/>
          <w:sz w:val="24"/>
          <w:szCs w:val="24"/>
          <w:highlight w:val="white"/>
          <w:lang w:val="fr-FR"/>
        </w:rPr>
        <w:t>Abstract</w:t>
      </w:r>
    </w:p>
    <w:p w14:paraId="00000009" w14:textId="00F565A5" w:rsidR="00176DF1" w:rsidRDefault="00000000">
      <w:pPr>
        <w:spacing w:before="240" w:after="240"/>
        <w:jc w:val="both"/>
        <w:rPr>
          <w:rFonts w:ascii="Roboto" w:eastAsia="Roboto" w:hAnsi="Roboto" w:cs="Roboto"/>
          <w:color w:val="202124"/>
          <w:sz w:val="24"/>
          <w:szCs w:val="24"/>
          <w:highlight w:val="white"/>
        </w:rPr>
      </w:pPr>
      <w:r>
        <w:rPr>
          <w:rFonts w:ascii="Roboto" w:eastAsia="Roboto" w:hAnsi="Roboto" w:cs="Roboto"/>
          <w:color w:val="202124"/>
          <w:sz w:val="24"/>
          <w:szCs w:val="24"/>
          <w:highlight w:val="white"/>
        </w:rPr>
        <w:t xml:space="preserve">The Universal Design for Learning (UDL) framework has emerged as a critical component in contemporary pre-service and in-service teacher preparation in Morocco. It focuses on fostering inclusive and adaptable teaching practices. In this vein, this study examines the implementation of UDL through project-based assessments (PBA) to promote inclusive teaching strategies. For example, teachers worked in teams to design posters addressing diverse learner needs, using tools such as Google Classroom, </w:t>
      </w:r>
      <w:proofErr w:type="spellStart"/>
      <w:r>
        <w:rPr>
          <w:rFonts w:ascii="Roboto" w:eastAsia="Roboto" w:hAnsi="Roboto" w:cs="Roboto"/>
          <w:color w:val="202124"/>
          <w:sz w:val="24"/>
          <w:szCs w:val="24"/>
          <w:highlight w:val="white"/>
        </w:rPr>
        <w:t>Menti</w:t>
      </w:r>
      <w:proofErr w:type="spellEnd"/>
      <w:r>
        <w:rPr>
          <w:rFonts w:ascii="Roboto" w:eastAsia="Roboto" w:hAnsi="Roboto" w:cs="Roboto"/>
          <w:color w:val="202124"/>
          <w:sz w:val="24"/>
          <w:szCs w:val="24"/>
          <w:highlight w:val="white"/>
        </w:rPr>
        <w:t xml:space="preserve">, Padlet, and </w:t>
      </w:r>
      <w:proofErr w:type="spellStart"/>
      <w:r>
        <w:rPr>
          <w:rFonts w:ascii="Roboto" w:eastAsia="Roboto" w:hAnsi="Roboto" w:cs="Roboto"/>
          <w:color w:val="202124"/>
          <w:sz w:val="24"/>
          <w:szCs w:val="24"/>
          <w:highlight w:val="white"/>
        </w:rPr>
        <w:t>Jamboard</w:t>
      </w:r>
      <w:proofErr w:type="spellEnd"/>
      <w:r>
        <w:rPr>
          <w:rFonts w:ascii="Roboto" w:eastAsia="Roboto" w:hAnsi="Roboto" w:cs="Roboto"/>
          <w:color w:val="202124"/>
          <w:sz w:val="24"/>
          <w:szCs w:val="24"/>
          <w:highlight w:val="white"/>
        </w:rPr>
        <w:t xml:space="preserve"> etc</w:t>
      </w:r>
      <w:r w:rsidR="00FC4D44">
        <w:rPr>
          <w:rFonts w:ascii="Roboto" w:eastAsia="Roboto" w:hAnsi="Roboto" w:cs="Roboto"/>
          <w:color w:val="202124"/>
          <w:sz w:val="24"/>
          <w:szCs w:val="24"/>
          <w:highlight w:val="white"/>
        </w:rPr>
        <w:t>….</w:t>
      </w:r>
      <w:r>
        <w:rPr>
          <w:rFonts w:ascii="Roboto" w:eastAsia="Roboto" w:hAnsi="Roboto" w:cs="Roboto"/>
          <w:color w:val="202124"/>
          <w:sz w:val="24"/>
          <w:szCs w:val="24"/>
          <w:highlight w:val="white"/>
        </w:rPr>
        <w:t xml:space="preserve"> Employing a mixed-methods approach, the study highlights key benefits, including enhanced student engagement and individualised instruction, while also identifying challenges, such as minimal systemic support and inconsistencies in grading practices. The research offers strategies for overcoming these barriers and showcases successful implementations at institutions like Mary Lou Fulton Teachers College (MLFTC) at Arizona State University. This study will be presented in the form of a poster, with future directions emphasising the critical role of technology and policy in scaling UDL for inclusive classrooms.</w:t>
      </w:r>
    </w:p>
    <w:p w14:paraId="0000000A" w14:textId="77777777" w:rsidR="00176DF1" w:rsidRDefault="00176DF1">
      <w:pPr>
        <w:rPr>
          <w:rFonts w:ascii="Roboto" w:eastAsia="Roboto" w:hAnsi="Roboto" w:cs="Roboto"/>
          <w:color w:val="202124"/>
          <w:sz w:val="24"/>
          <w:szCs w:val="24"/>
          <w:highlight w:val="white"/>
        </w:rPr>
      </w:pPr>
    </w:p>
    <w:p w14:paraId="0000000B" w14:textId="77777777" w:rsidR="00176DF1" w:rsidRDefault="00000000">
      <w:pPr>
        <w:rPr>
          <w:rFonts w:ascii="Roboto" w:eastAsia="Roboto" w:hAnsi="Roboto" w:cs="Roboto"/>
          <w:color w:val="202124"/>
          <w:sz w:val="24"/>
          <w:szCs w:val="24"/>
          <w:highlight w:val="white"/>
        </w:rPr>
      </w:pPr>
      <w:r>
        <w:rPr>
          <w:rFonts w:ascii="Roboto" w:eastAsia="Roboto" w:hAnsi="Roboto" w:cs="Roboto"/>
          <w:b/>
          <w:color w:val="202124"/>
          <w:sz w:val="24"/>
          <w:szCs w:val="24"/>
          <w:highlight w:val="white"/>
        </w:rPr>
        <w:t>Keywords</w:t>
      </w:r>
      <w:r>
        <w:rPr>
          <w:rFonts w:ascii="Roboto" w:eastAsia="Roboto" w:hAnsi="Roboto" w:cs="Roboto"/>
          <w:color w:val="202124"/>
          <w:sz w:val="24"/>
          <w:szCs w:val="24"/>
          <w:highlight w:val="white"/>
        </w:rPr>
        <w:t>: UDL, project-based assessment, pre-service teacher education, inclusive education, educational technology</w:t>
      </w:r>
    </w:p>
    <w:p w14:paraId="0000000C" w14:textId="77777777" w:rsidR="00176DF1" w:rsidRDefault="00176DF1">
      <w:pPr>
        <w:rPr>
          <w:rFonts w:ascii="Roboto" w:eastAsia="Roboto" w:hAnsi="Roboto" w:cs="Roboto"/>
          <w:color w:val="202124"/>
          <w:sz w:val="24"/>
          <w:szCs w:val="24"/>
          <w:highlight w:val="white"/>
        </w:rPr>
      </w:pPr>
    </w:p>
    <w:p w14:paraId="0000000D" w14:textId="77777777" w:rsidR="00176DF1" w:rsidRDefault="00176DF1">
      <w:pPr>
        <w:rPr>
          <w:rFonts w:ascii="Roboto" w:eastAsia="Roboto" w:hAnsi="Roboto" w:cs="Roboto"/>
          <w:color w:val="202124"/>
          <w:sz w:val="24"/>
          <w:szCs w:val="24"/>
          <w:highlight w:val="white"/>
        </w:rPr>
      </w:pPr>
    </w:p>
    <w:p w14:paraId="0000000E" w14:textId="77777777" w:rsidR="00176DF1" w:rsidRDefault="00176DF1">
      <w:pPr>
        <w:rPr>
          <w:sz w:val="24"/>
          <w:szCs w:val="24"/>
        </w:rPr>
      </w:pPr>
    </w:p>
    <w:sectPr w:rsidR="00176DF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F1"/>
    <w:rsid w:val="00176DF1"/>
    <w:rsid w:val="00FC4D44"/>
  </w:rsids>
  <m:mathPr>
    <m:mathFont m:val="Cambria Math"/>
    <m:brkBin m:val="before"/>
    <m:brkBinSub m:val="--"/>
    <m:smallFrac m:val="0"/>
    <m:dispDef/>
    <m:lMargin m:val="0"/>
    <m:rMargin m:val="0"/>
    <m:defJc m:val="centerGroup"/>
    <m:wrapIndent m:val="1440"/>
    <m:intLim m:val="subSup"/>
    <m:naryLim m:val="undOvr"/>
  </m:mathPr>
  <w:themeFontLang w:val="en-MA" w:bidi="ar-SA"/>
  <w:clrSchemeMapping w:bg1="light1" w:t1="dark1" w:bg2="light2" w:t2="dark2" w:accent1="accent1" w:accent2="accent2" w:accent3="accent3" w:accent4="accent4" w:accent5="accent5" w:accent6="accent6" w:hyperlink="hyperlink" w:followedHyperlink="followedHyperlink"/>
  <w:decimalSymbol w:val=","/>
  <w:listSeparator w:val=","/>
  <w14:docId w14:val="0F51C124"/>
  <w15:docId w15:val="{C9C64973-16FC-9A40-BFFD-899BB42A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timazahra.sahli@uit.ac.ma" TargetMode="External"/><Relationship Id="rId5" Type="http://schemas.openxmlformats.org/officeDocument/2006/relationships/hyperlink" Target="mailto:fatimazahra.guerss@uit.ac.ma" TargetMode="External"/><Relationship Id="rId4" Type="http://schemas.openxmlformats.org/officeDocument/2006/relationships/hyperlink" Target="mailto:latifa.hafdiidrissi@uit.ac.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vPro</cp:lastModifiedBy>
  <cp:revision>2</cp:revision>
  <dcterms:created xsi:type="dcterms:W3CDTF">2024-10-20T15:26:00Z</dcterms:created>
  <dcterms:modified xsi:type="dcterms:W3CDTF">2024-10-20T15:27:00Z</dcterms:modified>
</cp:coreProperties>
</file>