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F5DE" w14:textId="15B82C85" w:rsidR="0057083A" w:rsidRPr="0057083A" w:rsidRDefault="0057083A" w:rsidP="0057083A">
      <w:pPr>
        <w:spacing w:line="360" w:lineRule="auto"/>
        <w:jc w:val="center"/>
        <w:rPr>
          <w:b/>
          <w:bCs/>
          <w:noProof/>
          <w:sz w:val="32"/>
          <w:szCs w:val="32"/>
          <w:lang w:bidi="ar-KW"/>
        </w:rPr>
      </w:pPr>
      <w:r w:rsidRPr="0057083A">
        <w:rPr>
          <w:b/>
          <w:bCs/>
          <w:noProof/>
          <w:sz w:val="32"/>
          <w:szCs w:val="32"/>
          <w:lang w:bidi="ar-KW"/>
        </w:rPr>
        <w:t>The Interactive Whiteboard in the English Language Classroom</w:t>
      </w:r>
    </w:p>
    <w:p w14:paraId="17CD2B2D" w14:textId="77777777" w:rsidR="0057083A" w:rsidRDefault="0057083A" w:rsidP="0057083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24459548"/>
    </w:p>
    <w:p w14:paraId="486C66BF" w14:textId="16B0CDA0" w:rsidR="0057083A" w:rsidRPr="00F0778A" w:rsidRDefault="0057083A" w:rsidP="0057083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778A">
        <w:rPr>
          <w:rFonts w:asciiTheme="majorBidi" w:hAnsiTheme="majorBidi" w:cstheme="majorBidi"/>
          <w:b/>
          <w:bCs/>
          <w:sz w:val="28"/>
          <w:szCs w:val="28"/>
        </w:rPr>
        <w:t>Dr. Wafaa Salem Al-Yaseen</w:t>
      </w:r>
    </w:p>
    <w:p w14:paraId="766A1258" w14:textId="77777777" w:rsidR="0057083A" w:rsidRDefault="0057083A" w:rsidP="0057083A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1114C91F" w14:textId="482CB6B5" w:rsidR="0057083A" w:rsidRPr="00F0778A" w:rsidRDefault="0057083A" w:rsidP="0057083A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F0778A">
        <w:rPr>
          <w:rFonts w:asciiTheme="majorBidi" w:hAnsiTheme="majorBidi" w:cstheme="majorBidi"/>
          <w:sz w:val="28"/>
          <w:szCs w:val="28"/>
        </w:rPr>
        <w:t xml:space="preserve">Associate Professor </w:t>
      </w:r>
    </w:p>
    <w:p w14:paraId="1D6A260F" w14:textId="77777777" w:rsidR="0057083A" w:rsidRPr="00F0778A" w:rsidRDefault="0057083A" w:rsidP="0057083A">
      <w:pPr>
        <w:jc w:val="center"/>
        <w:rPr>
          <w:rFonts w:asciiTheme="majorBidi" w:hAnsiTheme="majorBidi" w:cstheme="majorBidi"/>
          <w:sz w:val="28"/>
          <w:szCs w:val="28"/>
        </w:rPr>
      </w:pPr>
      <w:r w:rsidRPr="00F0778A">
        <w:rPr>
          <w:rFonts w:asciiTheme="majorBidi" w:hAnsiTheme="majorBidi" w:cstheme="majorBidi"/>
          <w:sz w:val="28"/>
          <w:szCs w:val="28"/>
        </w:rPr>
        <w:t xml:space="preserve">Department of Curriculum &amp; Instruction </w:t>
      </w:r>
    </w:p>
    <w:p w14:paraId="0C42C7F9" w14:textId="77777777" w:rsidR="0057083A" w:rsidRPr="00F0778A" w:rsidRDefault="0057083A" w:rsidP="0057083A">
      <w:pPr>
        <w:jc w:val="center"/>
        <w:rPr>
          <w:rFonts w:asciiTheme="majorBidi" w:hAnsiTheme="majorBidi" w:cstheme="majorBidi"/>
          <w:sz w:val="28"/>
          <w:szCs w:val="28"/>
        </w:rPr>
      </w:pPr>
      <w:r w:rsidRPr="00F0778A">
        <w:rPr>
          <w:rFonts w:asciiTheme="majorBidi" w:hAnsiTheme="majorBidi" w:cstheme="majorBidi"/>
          <w:sz w:val="28"/>
          <w:szCs w:val="28"/>
        </w:rPr>
        <w:t xml:space="preserve">College of Education </w:t>
      </w:r>
    </w:p>
    <w:p w14:paraId="78FE609D" w14:textId="77777777" w:rsidR="0057083A" w:rsidRPr="00F0778A" w:rsidRDefault="0057083A" w:rsidP="0057083A">
      <w:pPr>
        <w:jc w:val="center"/>
        <w:rPr>
          <w:rFonts w:asciiTheme="majorBidi" w:hAnsiTheme="majorBidi" w:cstheme="majorBidi"/>
          <w:sz w:val="28"/>
          <w:szCs w:val="28"/>
        </w:rPr>
      </w:pPr>
      <w:r w:rsidRPr="00F0778A">
        <w:rPr>
          <w:rFonts w:asciiTheme="majorBidi" w:hAnsiTheme="majorBidi" w:cstheme="majorBidi"/>
          <w:sz w:val="28"/>
          <w:szCs w:val="28"/>
        </w:rPr>
        <w:t>Kuwait University</w:t>
      </w:r>
    </w:p>
    <w:bookmarkEnd w:id="0"/>
    <w:p w14:paraId="51CD59F9" w14:textId="77777777" w:rsidR="0057083A" w:rsidRPr="00F0778A" w:rsidRDefault="0057083A" w:rsidP="0057083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0197DF" w14:textId="77777777" w:rsidR="0057083A" w:rsidRDefault="0057083A" w:rsidP="0057083A">
      <w:pPr>
        <w:jc w:val="center"/>
        <w:rPr>
          <w:rFonts w:asciiTheme="majorBidi" w:hAnsiTheme="majorBidi" w:cstheme="majorBidi"/>
          <w:sz w:val="28"/>
          <w:szCs w:val="28"/>
        </w:rPr>
      </w:pPr>
      <w:r w:rsidRPr="00F0778A">
        <w:rPr>
          <w:rFonts w:asciiTheme="majorBidi" w:hAnsiTheme="majorBidi" w:cstheme="majorBidi"/>
          <w:sz w:val="28"/>
          <w:szCs w:val="28"/>
        </w:rPr>
        <w:t>Paper Presented at the</w:t>
      </w:r>
    </w:p>
    <w:p w14:paraId="2E2C2DDD" w14:textId="77777777" w:rsidR="0057083A" w:rsidRPr="00F0778A" w:rsidRDefault="0057083A" w:rsidP="0057083A">
      <w:pPr>
        <w:jc w:val="center"/>
        <w:rPr>
          <w:rFonts w:asciiTheme="majorBidi" w:hAnsiTheme="majorBidi" w:cstheme="majorBidi"/>
          <w:sz w:val="28"/>
          <w:szCs w:val="28"/>
        </w:rPr>
      </w:pPr>
      <w:r w:rsidRPr="00F0778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6FE847AE" w14:textId="77777777" w:rsidR="0057083A" w:rsidRPr="00F0778A" w:rsidRDefault="0057083A" w:rsidP="0057083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14</w:t>
      </w:r>
      <w:r w:rsidRPr="00FB132D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 xml:space="preserve"> ICTEL 2022- International Conference on Teaching, Education and Learning</w:t>
      </w:r>
    </w:p>
    <w:p w14:paraId="3D12DA98" w14:textId="77777777" w:rsidR="0057083A" w:rsidRPr="00F0778A" w:rsidRDefault="0057083A" w:rsidP="0057083A">
      <w:pPr>
        <w:jc w:val="center"/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</w:pPr>
    </w:p>
    <w:p w14:paraId="1758C0C7" w14:textId="77777777" w:rsidR="0057083A" w:rsidRDefault="0057083A" w:rsidP="0057083A">
      <w:pPr>
        <w:jc w:val="center"/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</w:pPr>
      <w:r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London</w:t>
      </w:r>
      <w:r w:rsidRPr="00F0778A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– the United Kingdom</w:t>
      </w:r>
      <w:r w:rsidRPr="00F0778A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, </w:t>
      </w:r>
      <w:r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5</w:t>
      </w:r>
      <w:r w:rsidRPr="00F0778A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6</w:t>
      </w:r>
      <w:r w:rsidRPr="00F0778A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/ </w:t>
      </w:r>
      <w:r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September</w:t>
      </w:r>
      <w:r w:rsidRPr="00F0778A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/ 202</w:t>
      </w:r>
      <w:r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2</w:t>
      </w:r>
    </w:p>
    <w:p w14:paraId="55909759" w14:textId="42E857AD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66786954" w14:textId="346DA16B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6CD660E8" w14:textId="775098B7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69FFAF2C" w14:textId="10F00D38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6437D5D6" w14:textId="4D13714C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7DEE426D" w14:textId="38775D4A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5642A5F1" w14:textId="55E4E205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48BFC0FE" w14:textId="7F5BAEAE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7B494451" w14:textId="44CEC20C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4AF7327B" w14:textId="085876A6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44CC693D" w14:textId="70EE2612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7B37635E" w14:textId="16EBFD78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7667A2DB" w14:textId="00DFA998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1F79CD6A" w14:textId="1ECA20E5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4B5CB7D0" w14:textId="3F0474C0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28FFC52A" w14:textId="773BA6CF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467B4923" w14:textId="02B199F6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726C2876" w14:textId="3A593C9E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0C774CA6" w14:textId="57C42836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1B478A64" w14:textId="2294F1F3" w:rsidR="0057083A" w:rsidRDefault="0057083A" w:rsidP="0057083A">
      <w:pPr>
        <w:spacing w:line="360" w:lineRule="auto"/>
        <w:jc w:val="center"/>
        <w:rPr>
          <w:noProof/>
          <w:lang w:bidi="ar-KW"/>
        </w:rPr>
      </w:pPr>
    </w:p>
    <w:p w14:paraId="51FDF51A" w14:textId="77777777" w:rsidR="0057083A" w:rsidRPr="009F74ED" w:rsidRDefault="0057083A" w:rsidP="0057083A">
      <w:pPr>
        <w:spacing w:line="360" w:lineRule="auto"/>
        <w:jc w:val="center"/>
        <w:rPr>
          <w:b/>
          <w:bCs/>
          <w:noProof/>
          <w:sz w:val="28"/>
          <w:szCs w:val="28"/>
          <w:u w:val="single"/>
          <w:lang w:bidi="ar-KW"/>
        </w:rPr>
      </w:pPr>
    </w:p>
    <w:p w14:paraId="7A3106AD" w14:textId="22253958" w:rsidR="0057083A" w:rsidRPr="009F74ED" w:rsidRDefault="00182B74" w:rsidP="009F74ED">
      <w:pPr>
        <w:bidi w:val="0"/>
        <w:spacing w:line="360" w:lineRule="auto"/>
        <w:rPr>
          <w:b/>
          <w:bCs/>
          <w:noProof/>
          <w:sz w:val="28"/>
          <w:szCs w:val="28"/>
          <w:u w:val="single"/>
          <w:lang w:bidi="ar-KW"/>
        </w:rPr>
      </w:pPr>
      <w:r w:rsidRPr="009F74ED">
        <w:rPr>
          <w:b/>
          <w:bCs/>
          <w:noProof/>
          <w:sz w:val="28"/>
          <w:szCs w:val="28"/>
          <w:u w:val="single"/>
          <w:lang w:bidi="ar-KW"/>
        </w:rPr>
        <w:lastRenderedPageBreak/>
        <w:t xml:space="preserve">Abstract: </w:t>
      </w:r>
    </w:p>
    <w:p w14:paraId="0915B838" w14:textId="2148E841" w:rsidR="00182B74" w:rsidRDefault="00182B74" w:rsidP="00182B74">
      <w:pPr>
        <w:spacing w:line="360" w:lineRule="auto"/>
        <w:jc w:val="right"/>
        <w:rPr>
          <w:noProof/>
          <w:lang w:bidi="ar-KW"/>
        </w:rPr>
      </w:pPr>
    </w:p>
    <w:p w14:paraId="00D709CD" w14:textId="30EF117E" w:rsidR="00B174F7" w:rsidRDefault="00182B74" w:rsidP="001447B6">
      <w:pPr>
        <w:bidi w:val="0"/>
        <w:spacing w:line="360" w:lineRule="auto"/>
        <w:jc w:val="both"/>
        <w:rPr>
          <w:noProof/>
          <w:lang w:bidi="ar-KW"/>
        </w:rPr>
      </w:pPr>
      <w:r>
        <w:rPr>
          <w:noProof/>
          <w:lang w:bidi="ar-KW"/>
        </w:rPr>
        <w:t xml:space="preserve">The spread of </w:t>
      </w:r>
      <w:r w:rsidR="001447B6">
        <w:rPr>
          <w:noProof/>
          <w:lang w:bidi="ar-KW"/>
        </w:rPr>
        <w:t xml:space="preserve">the </w:t>
      </w:r>
      <w:r>
        <w:rPr>
          <w:noProof/>
          <w:lang w:bidi="ar-KW"/>
        </w:rPr>
        <w:t xml:space="preserve">interactive whiteboard use in the field of education has been well acknowledged. It has shifted the focus from regular teaching to </w:t>
      </w:r>
      <w:r w:rsidR="00DF2787">
        <w:rPr>
          <w:noProof/>
          <w:lang w:bidi="ar-KW"/>
        </w:rPr>
        <w:t xml:space="preserve">the involvement of technology represented in the interactive whiteboard. </w:t>
      </w:r>
      <w:r w:rsidR="0057083A">
        <w:rPr>
          <w:lang w:bidi="ar-KW"/>
        </w:rPr>
        <w:t>Research shows that it helps in increasing the standards of educational learning and achieving the expected learning outcomes of learners. There is a strong research evidence supporting the effectiveness of it and the positive educational values, which makes it a significant strategy in the English</w:t>
      </w:r>
      <w:r w:rsidR="00DF2787">
        <w:rPr>
          <w:lang w:bidi="ar-KW"/>
        </w:rPr>
        <w:t xml:space="preserve"> </w:t>
      </w:r>
      <w:r w:rsidR="0057083A">
        <w:rPr>
          <w:lang w:bidi="ar-KW"/>
        </w:rPr>
        <w:t>languag</w:t>
      </w:r>
      <w:r w:rsidR="00DF2787">
        <w:rPr>
          <w:lang w:bidi="ar-KW"/>
        </w:rPr>
        <w:t>e</w:t>
      </w:r>
      <w:r w:rsidR="0057083A">
        <w:rPr>
          <w:lang w:bidi="ar-KW"/>
        </w:rPr>
        <w:t xml:space="preserve"> classroom. Students become responsible for their own learning</w:t>
      </w:r>
      <w:r w:rsidR="00DF2787">
        <w:rPr>
          <w:lang w:bidi="ar-KW"/>
        </w:rPr>
        <w:t xml:space="preserve">. </w:t>
      </w:r>
      <w:r w:rsidR="0057083A">
        <w:rPr>
          <w:lang w:bidi="ar-KW"/>
        </w:rPr>
        <w:t xml:space="preserve">This paper gives an in-depth understanding of </w:t>
      </w:r>
      <w:r w:rsidR="001447B6">
        <w:rPr>
          <w:lang w:bidi="ar-KW"/>
        </w:rPr>
        <w:t xml:space="preserve">the </w:t>
      </w:r>
      <w:r w:rsidR="00DF2787">
        <w:rPr>
          <w:lang w:bidi="ar-KW"/>
        </w:rPr>
        <w:t>interactive whiteboard as a</w:t>
      </w:r>
      <w:r w:rsidR="0057083A">
        <w:rPr>
          <w:lang w:bidi="ar-KW"/>
        </w:rPr>
        <w:t xml:space="preserve"> leaning </w:t>
      </w:r>
      <w:r w:rsidR="00DF2787">
        <w:rPr>
          <w:lang w:bidi="ar-KW"/>
        </w:rPr>
        <w:t xml:space="preserve">tool </w:t>
      </w:r>
      <w:r w:rsidR="0057083A">
        <w:rPr>
          <w:lang w:bidi="ar-KW"/>
        </w:rPr>
        <w:t xml:space="preserve">and its advantages based on its relevance to the English language classroom.  Therefore, the focus will be on the defining </w:t>
      </w:r>
      <w:r w:rsidR="00DF2787">
        <w:rPr>
          <w:lang w:bidi="ar-KW"/>
        </w:rPr>
        <w:t>the interactive whiteboard,</w:t>
      </w:r>
      <w:r w:rsidR="0057083A">
        <w:rPr>
          <w:lang w:bidi="ar-KW"/>
        </w:rPr>
        <w:t xml:space="preserve"> the theoretical background of it, </w:t>
      </w:r>
      <w:r w:rsidR="00D62910">
        <w:rPr>
          <w:lang w:bidi="ar-KW"/>
        </w:rPr>
        <w:t xml:space="preserve">its applications in the English language classroom, </w:t>
      </w:r>
      <w:r w:rsidR="0057083A">
        <w:rPr>
          <w:lang w:bidi="ar-KW"/>
        </w:rPr>
        <w:t xml:space="preserve">and </w:t>
      </w:r>
      <w:r w:rsidR="00D62910">
        <w:rPr>
          <w:lang w:bidi="ar-KW"/>
        </w:rPr>
        <w:t>its impact on</w:t>
      </w:r>
      <w:r w:rsidR="0057083A">
        <w:rPr>
          <w:lang w:bidi="ar-KW"/>
        </w:rPr>
        <w:t xml:space="preserve"> the learning process. The paper finishes with some educational implications for the EFL classroom</w:t>
      </w:r>
    </w:p>
    <w:sectPr w:rsidR="00B17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9F"/>
    <w:rsid w:val="001447B6"/>
    <w:rsid w:val="00182B74"/>
    <w:rsid w:val="004969FE"/>
    <w:rsid w:val="0057083A"/>
    <w:rsid w:val="009E0B9F"/>
    <w:rsid w:val="009F74ED"/>
    <w:rsid w:val="00CA2F86"/>
    <w:rsid w:val="00D62910"/>
    <w:rsid w:val="00D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E518"/>
  <w15:chartTrackingRefBased/>
  <w15:docId w15:val="{17A0A414-82F0-43EB-B49F-4E9E9EBF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3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B1A0E-A815-41CE-8686-61061AEA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wafaa salem</dc:creator>
  <cp:keywords/>
  <dc:description/>
  <cp:lastModifiedBy>wafaa salem</cp:lastModifiedBy>
  <cp:revision>4</cp:revision>
  <dcterms:created xsi:type="dcterms:W3CDTF">2022-06-09T06:53:00Z</dcterms:created>
  <dcterms:modified xsi:type="dcterms:W3CDTF">2022-06-09T07:12:00Z</dcterms:modified>
</cp:coreProperties>
</file>