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54222F" w:rsidRDefault="00D45F59" w:rsidP="00D45F59">
      <w:pPr>
        <w:jc w:val="center"/>
        <w:rPr>
          <w:rFonts w:ascii="Times New Roman" w:hAnsi="Times New Roman" w:cs="Times New Roman"/>
          <w:b/>
          <w:sz w:val="32"/>
          <w:szCs w:val="32"/>
          <w:lang w:val="en-US"/>
        </w:rPr>
      </w:pPr>
      <w:r w:rsidRPr="0054222F">
        <w:rPr>
          <w:rFonts w:ascii="Times New Roman" w:hAnsi="Times New Roman" w:cs="Times New Roman"/>
          <w:b/>
          <w:sz w:val="32"/>
          <w:szCs w:val="32"/>
          <w:lang w:val="en-US"/>
        </w:rPr>
        <w:t>COMPULSORY EDUCATION IN UZBEKISTAN</w:t>
      </w:r>
    </w:p>
    <w:p w:rsidR="00D45F59" w:rsidRPr="00D45F59" w:rsidRDefault="00D45F59">
      <w:pPr>
        <w:rPr>
          <w:rFonts w:ascii="Times New Roman" w:hAnsi="Times New Roman" w:cs="Times New Roman"/>
          <w:lang w:val="en-US"/>
        </w:rPr>
      </w:pPr>
    </w:p>
    <w:p w:rsidR="00FA7906" w:rsidRPr="00FF1615" w:rsidRDefault="00FA7906" w:rsidP="00FA7906">
      <w:pPr>
        <w:spacing w:after="0" w:line="360" w:lineRule="auto"/>
        <w:jc w:val="right"/>
        <w:rPr>
          <w:rFonts w:ascii="Times New Roman" w:hAnsi="Times New Roman" w:cs="Times New Roman"/>
          <w:b/>
          <w:sz w:val="28"/>
          <w:szCs w:val="24"/>
          <w:lang w:val="en-US"/>
        </w:rPr>
      </w:pPr>
      <w:r w:rsidRPr="00FF1615">
        <w:rPr>
          <w:rFonts w:ascii="Times New Roman" w:hAnsi="Times New Roman" w:cs="Times New Roman"/>
          <w:b/>
          <w:sz w:val="28"/>
          <w:szCs w:val="24"/>
          <w:lang w:val="en-US"/>
        </w:rPr>
        <w:t>Jakhongir Shaturaev</w:t>
      </w:r>
    </w:p>
    <w:p w:rsidR="00FA7906" w:rsidRPr="00072100" w:rsidRDefault="00FA7906" w:rsidP="00FA7906">
      <w:pPr>
        <w:spacing w:after="0" w:line="276" w:lineRule="auto"/>
        <w:jc w:val="right"/>
        <w:rPr>
          <w:rFonts w:ascii="Times New Roman" w:hAnsi="Times New Roman" w:cs="Times New Roman"/>
          <w:b/>
          <w:sz w:val="24"/>
          <w:szCs w:val="24"/>
          <w:lang w:val="en-US"/>
        </w:rPr>
      </w:pPr>
    </w:p>
    <w:p w:rsidR="00FA7906" w:rsidRPr="00072100" w:rsidRDefault="00FA7906" w:rsidP="00FA7906">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Assistant Professor of the Department of “Corporate Economics and Business Analy</w:t>
      </w:r>
      <w:r>
        <w:rPr>
          <w:rFonts w:ascii="Times New Roman" w:hAnsi="Times New Roman" w:cs="Times New Roman"/>
          <w:i/>
          <w:sz w:val="24"/>
          <w:szCs w:val="24"/>
          <w:lang w:val="en-US"/>
        </w:rPr>
        <w:t>tics</w:t>
      </w:r>
      <w:r w:rsidRPr="00072100">
        <w:rPr>
          <w:rFonts w:ascii="Times New Roman" w:hAnsi="Times New Roman" w:cs="Times New Roman"/>
          <w:i/>
          <w:sz w:val="24"/>
          <w:szCs w:val="24"/>
          <w:lang w:val="en-US"/>
        </w:rPr>
        <w:t>”,</w:t>
      </w:r>
    </w:p>
    <w:p w:rsidR="00FA7906" w:rsidRDefault="00FA7906" w:rsidP="00FA7906">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 xml:space="preserve">Tashkent State University of Economics, </w:t>
      </w:r>
    </w:p>
    <w:p w:rsidR="00FA7906" w:rsidRDefault="00FA7906" w:rsidP="00FA7906">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Islam Karimov avenue, 49</w:t>
      </w:r>
    </w:p>
    <w:p w:rsidR="00FA7906" w:rsidRDefault="00FA7906" w:rsidP="00FA7906">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 xml:space="preserve">100003 </w:t>
      </w:r>
      <w:r w:rsidRPr="00072100">
        <w:rPr>
          <w:rFonts w:ascii="Times New Roman" w:hAnsi="Times New Roman" w:cs="Times New Roman"/>
          <w:i/>
          <w:sz w:val="24"/>
          <w:szCs w:val="24"/>
          <w:lang w:val="en-US"/>
        </w:rPr>
        <w:t>Tashkent, Uzbekistan.</w:t>
      </w:r>
    </w:p>
    <w:p w:rsidR="00FA7906" w:rsidRPr="00072100" w:rsidRDefault="00FA7906" w:rsidP="00FA7906">
      <w:pPr>
        <w:spacing w:after="0" w:line="276"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Mobile: +998 90 644 08 08</w:t>
      </w:r>
    </w:p>
    <w:p w:rsidR="00FA7906" w:rsidRPr="00072100" w:rsidRDefault="00FA7906" w:rsidP="00FA7906">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ORCID - 0000-0003-3859-2526</w:t>
      </w:r>
    </w:p>
    <w:p w:rsidR="00FA7906" w:rsidRPr="00072100" w:rsidRDefault="00FA7906" w:rsidP="00FA7906">
      <w:pPr>
        <w:spacing w:after="0" w:line="276" w:lineRule="auto"/>
        <w:jc w:val="right"/>
        <w:rPr>
          <w:rFonts w:ascii="Times New Roman" w:hAnsi="Times New Roman" w:cs="Times New Roman"/>
          <w:i/>
          <w:sz w:val="24"/>
          <w:szCs w:val="24"/>
          <w:lang w:val="en-US"/>
        </w:rPr>
      </w:pPr>
      <w:r w:rsidRPr="00072100">
        <w:rPr>
          <w:rFonts w:ascii="Times New Roman" w:hAnsi="Times New Roman" w:cs="Times New Roman"/>
          <w:i/>
          <w:sz w:val="24"/>
          <w:szCs w:val="24"/>
          <w:lang w:val="en-US"/>
        </w:rPr>
        <w:t xml:space="preserve">Email: </w:t>
      </w:r>
      <w:hyperlink r:id="rId6" w:history="1">
        <w:r w:rsidRPr="00072100">
          <w:rPr>
            <w:rStyle w:val="a3"/>
            <w:rFonts w:ascii="Times New Roman" w:hAnsi="Times New Roman" w:cs="Times New Roman"/>
            <w:i/>
            <w:sz w:val="24"/>
            <w:szCs w:val="24"/>
            <w:lang w:val="en-US"/>
          </w:rPr>
          <w:t>jakhongir.shaturaev@tsue.uz</w:t>
        </w:r>
      </w:hyperlink>
    </w:p>
    <w:p w:rsidR="00D45F59" w:rsidRPr="0054222F" w:rsidRDefault="0054222F" w:rsidP="0054222F">
      <w:pPr>
        <w:spacing w:after="0" w:line="360" w:lineRule="auto"/>
        <w:jc w:val="right"/>
        <w:rPr>
          <w:rFonts w:ascii="Times New Roman" w:hAnsi="Times New Roman" w:cs="Times New Roman"/>
          <w:i/>
          <w:sz w:val="24"/>
          <w:szCs w:val="24"/>
          <w:lang w:val="en-US"/>
        </w:rPr>
      </w:pPr>
      <w:r>
        <w:rPr>
          <w:rStyle w:val="a3"/>
          <w:rFonts w:ascii="Times New Roman" w:hAnsi="Times New Roman" w:cs="Times New Roman"/>
          <w:i/>
          <w:color w:val="auto"/>
          <w:sz w:val="24"/>
          <w:szCs w:val="24"/>
          <w:u w:val="none"/>
          <w:lang w:val="en-US"/>
        </w:rPr>
        <w:t xml:space="preserve"> </w:t>
      </w:r>
    </w:p>
    <w:p w:rsidR="00D45F59" w:rsidRPr="00D45F59" w:rsidRDefault="00D45F59" w:rsidP="00D45F59">
      <w:pPr>
        <w:spacing w:after="0" w:line="360" w:lineRule="auto"/>
        <w:rPr>
          <w:rFonts w:ascii="Times New Roman" w:hAnsi="Times New Roman" w:cs="Times New Roman"/>
          <w:i/>
          <w:sz w:val="18"/>
          <w:szCs w:val="18"/>
          <w:lang w:val="en-US"/>
        </w:rPr>
      </w:pPr>
    </w:p>
    <w:p w:rsidR="00D45F59" w:rsidRPr="00D45F59" w:rsidRDefault="00D45F59" w:rsidP="00D45F59">
      <w:pPr>
        <w:spacing w:after="0" w:line="360" w:lineRule="auto"/>
        <w:jc w:val="both"/>
        <w:rPr>
          <w:rFonts w:ascii="Times New Roman" w:hAnsi="Times New Roman" w:cs="Times New Roman"/>
          <w:i/>
          <w:sz w:val="24"/>
          <w:szCs w:val="24"/>
          <w:lang w:val="en-US"/>
        </w:rPr>
      </w:pPr>
      <w:r w:rsidRPr="00D45F59">
        <w:rPr>
          <w:rFonts w:ascii="Times New Roman" w:hAnsi="Times New Roman" w:cs="Times New Roman"/>
          <w:b/>
          <w:sz w:val="24"/>
          <w:szCs w:val="24"/>
          <w:lang w:val="en-US"/>
        </w:rPr>
        <w:t>Abstract</w:t>
      </w:r>
    </w:p>
    <w:p w:rsidR="00D45F59" w:rsidRPr="00D45F59" w:rsidRDefault="00D45F59" w:rsidP="00D45F59">
      <w:pPr>
        <w:spacing w:after="0"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lang w:val="en-US"/>
        </w:rPr>
        <w:t xml:space="preserve">Locating in the heart of Central Asia, Uzbekistan pays out an enormous portion of its budget and attention to compulsory education in the area. Meanwhile, public education is afflicted by several issues apart from excellence both in the teaching and learning process. The author tried to define the current circumstance of primary education and sought possible solutions for them. Through field surveys and data analysis methods used throughout the investigation. Found data shows that improper infrastructure of government expenditure on education, low salary, and limited quota in pedagogical universities lead to a shortage of teachers in rural areas. The government of Uzbekistan needs further educational reforms in the area of public education, teacher training, and re-training programs, and increasing teachers’ salaries. </w:t>
      </w:r>
    </w:p>
    <w:p w:rsidR="00D45F59" w:rsidRPr="00D45F59" w:rsidRDefault="00D45F59" w:rsidP="00D45F59">
      <w:pPr>
        <w:spacing w:before="240" w:after="0" w:line="360" w:lineRule="auto"/>
        <w:jc w:val="both"/>
        <w:rPr>
          <w:rFonts w:ascii="Times New Roman" w:hAnsi="Times New Roman" w:cs="Times New Roman"/>
          <w:i/>
          <w:sz w:val="24"/>
          <w:szCs w:val="24"/>
          <w:lang w:val="en-US"/>
        </w:rPr>
      </w:pPr>
      <w:r w:rsidRPr="00D45F59">
        <w:rPr>
          <w:rFonts w:ascii="Times New Roman" w:hAnsi="Times New Roman" w:cs="Times New Roman"/>
          <w:b/>
          <w:sz w:val="24"/>
          <w:szCs w:val="24"/>
          <w:lang w:val="en-US"/>
        </w:rPr>
        <w:t>Keywords:</w:t>
      </w:r>
      <w:r w:rsidRPr="00D45F59">
        <w:rPr>
          <w:rFonts w:ascii="Times New Roman" w:hAnsi="Times New Roman" w:cs="Times New Roman"/>
          <w:sz w:val="24"/>
          <w:szCs w:val="24"/>
          <w:lang w:val="en-US"/>
        </w:rPr>
        <w:t xml:space="preserve"> </w:t>
      </w:r>
      <w:r w:rsidRPr="00D45F59">
        <w:rPr>
          <w:rFonts w:ascii="Times New Roman" w:hAnsi="Times New Roman" w:cs="Times New Roman"/>
          <w:i/>
          <w:sz w:val="24"/>
          <w:szCs w:val="24"/>
          <w:lang w:val="en-US"/>
        </w:rPr>
        <w:t>compulsory education; primary schools; reforms; teaching-learning process; Uzbekistan;</w:t>
      </w:r>
    </w:p>
    <w:p w:rsidR="00D45F59" w:rsidRPr="00D45F59" w:rsidRDefault="00D45F59" w:rsidP="00D45F59">
      <w:pPr>
        <w:spacing w:before="240" w:after="0" w:line="360" w:lineRule="auto"/>
        <w:jc w:val="both"/>
        <w:rPr>
          <w:rFonts w:ascii="Times New Roman" w:hAnsi="Times New Roman" w:cs="Times New Roman"/>
          <w:b/>
          <w:sz w:val="24"/>
          <w:szCs w:val="24"/>
          <w:lang w:val="en-US"/>
        </w:rPr>
      </w:pPr>
      <w:r w:rsidRPr="00D45F59">
        <w:rPr>
          <w:rFonts w:ascii="Times New Roman" w:hAnsi="Times New Roman" w:cs="Times New Roman"/>
          <w:b/>
          <w:sz w:val="24"/>
          <w:szCs w:val="24"/>
          <w:lang w:val="en-US"/>
        </w:rPr>
        <w:t>Introduction</w:t>
      </w:r>
    </w:p>
    <w:p w:rsidR="00D45F59" w:rsidRPr="00D45F59" w:rsidRDefault="00D45F59" w:rsidP="00D45F59">
      <w:pPr>
        <w:spacing w:after="0"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lang w:val="en-US"/>
        </w:rPr>
        <w:t xml:space="preserve">Spending 23.4% of the total budget on primary education does not pay off yet. The academic results excellence is still far from excellence. The government of Uzbekistan is facing major issues such as a shortage of teachers in rural areas, traditional teaching methods, frequently updating textbooks sum up that academic results of the schoolchildren remain low in Uzbekistan. </w:t>
      </w:r>
    </w:p>
    <w:p w:rsidR="00D45F59" w:rsidRPr="00D45F59" w:rsidRDefault="00D45F59" w:rsidP="00FA7906">
      <w:pPr>
        <w:spacing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lang w:val="en-US"/>
        </w:rPr>
        <w:tab/>
        <w:t xml:space="preserve">The double unlocked country in the heart of Central Asia, the Republic of Uzbekistan is trying to introduce soft skills, like leadership, communication skills in the teaching-learning process in primary schools of the Republic. However, compulsory education suffers much more crucial issues on the way of development of primary education in the country. One of the main outstanding issues in the sphere is an excessive number of pupils in the classrooms. Sometimes, </w:t>
      </w:r>
      <w:r w:rsidRPr="00D45F59">
        <w:rPr>
          <w:rFonts w:ascii="Times New Roman" w:hAnsi="Times New Roman" w:cs="Times New Roman"/>
          <w:sz w:val="24"/>
          <w:szCs w:val="24"/>
          <w:lang w:val="en-US"/>
        </w:rPr>
        <w:lastRenderedPageBreak/>
        <w:t xml:space="preserve">the number reaches 40-45 children, whereas the classroom capacity is designed for 25 individuals, however. It troubles the teacher to check up on home tasks and work individually with students. As the population grows, demand for schools increasing dramatically, hence, students must be queued at the Public Service Agency in each region of the country. The government of Uzbekistan has officially granted businessmen the nod to establish private schools. </w:t>
      </w:r>
    </w:p>
    <w:p w:rsidR="00D45F59" w:rsidRPr="00D45F59" w:rsidRDefault="00D45F59" w:rsidP="00D45F59">
      <w:pPr>
        <w:spacing w:after="0" w:line="360" w:lineRule="auto"/>
        <w:jc w:val="both"/>
        <w:rPr>
          <w:rFonts w:ascii="Times New Roman" w:hAnsi="Times New Roman" w:cs="Times New Roman"/>
          <w:b/>
          <w:i/>
          <w:sz w:val="24"/>
          <w:szCs w:val="24"/>
          <w:lang w:val="en-US"/>
        </w:rPr>
      </w:pPr>
      <w:r w:rsidRPr="00D45F59">
        <w:rPr>
          <w:rFonts w:ascii="Times New Roman" w:hAnsi="Times New Roman" w:cs="Times New Roman"/>
          <w:b/>
          <w:i/>
          <w:sz w:val="24"/>
          <w:szCs w:val="24"/>
          <w:lang w:val="en-US"/>
        </w:rPr>
        <w:t>Background</w:t>
      </w:r>
    </w:p>
    <w:p w:rsidR="00D45F59" w:rsidRPr="00D45F59" w:rsidRDefault="00D45F59" w:rsidP="00D45F59">
      <w:pPr>
        <w:spacing w:after="0" w:line="360" w:lineRule="auto"/>
        <w:jc w:val="both"/>
        <w:rPr>
          <w:rFonts w:ascii="Times New Roman" w:hAnsi="Times New Roman" w:cs="Times New Roman"/>
          <w:b/>
          <w:i/>
          <w:sz w:val="24"/>
          <w:szCs w:val="24"/>
          <w:lang w:val="en-US"/>
        </w:rPr>
      </w:pPr>
      <w:r w:rsidRPr="00D45F59">
        <w:rPr>
          <w:rFonts w:ascii="Times New Roman" w:hAnsi="Times New Roman" w:cs="Times New Roman"/>
          <w:b/>
          <w:i/>
          <w:sz w:val="24"/>
          <w:szCs w:val="24"/>
          <w:lang w:val="en-US"/>
        </w:rPr>
        <w:t>Compulsory Education in Uzbekistan</w:t>
      </w:r>
    </w:p>
    <w:p w:rsidR="00D45F59" w:rsidRPr="00D45F59" w:rsidRDefault="00D45F59" w:rsidP="00D45F59">
      <w:pPr>
        <w:spacing w:after="0"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shd w:val="clear" w:color="auto" w:fill="FFFFFF"/>
          <w:lang w:val="en-US"/>
        </w:rPr>
        <w:t>In Uzbekistan 11 years of education are compulsory and free, beginning with 4 years at primary school, and followed by 2 phases of secondary education taking 5 and 2 years respectively. Primary school begins at age 6 and there is no specific leaving examination after the 4 years are complete. The next 5 years are spent at general secondary school from ages 10 to 15. Following that, there is a choice of between 2 to 3 years of upper education at either general or technical vocational schools</w:t>
      </w:r>
      <w:r w:rsidR="0054222F">
        <w:rPr>
          <w:rFonts w:ascii="Times New Roman" w:hAnsi="Times New Roman" w:cs="Times New Roman"/>
          <w:sz w:val="24"/>
          <w:szCs w:val="24"/>
          <w:shd w:val="clear" w:color="auto" w:fill="FFFFFF"/>
          <w:lang w:val="en-US"/>
        </w:rPr>
        <w:t xml:space="preserve"> </w:t>
      </w:r>
      <w:r w:rsidR="0054222F">
        <w:rPr>
          <w:rFonts w:ascii="Times New Roman" w:hAnsi="Times New Roman" w:cs="Times New Roman"/>
          <w:sz w:val="24"/>
          <w:szCs w:val="24"/>
          <w:shd w:val="clear" w:color="auto" w:fill="FFFFFF"/>
          <w:lang w:val="en-US"/>
        </w:rPr>
        <w:fldChar w:fldCharType="begin" w:fldLock="1"/>
      </w:r>
      <w:r w:rsidR="0054222F">
        <w:rPr>
          <w:rFonts w:ascii="Times New Roman" w:hAnsi="Times New Roman" w:cs="Times New Roman"/>
          <w:sz w:val="24"/>
          <w:szCs w:val="24"/>
          <w:shd w:val="clear" w:color="auto" w:fill="FFFFFF"/>
          <w:lang w:val="en-US"/>
        </w:rPr>
        <w:instrText>ADDIN CSL_CITATION {"citationItems":[{"id":"ITEM-1","itemData":{"DOI":"10.21474/ijar01/11667","ISSN":"23205407","abstract":"Handwriting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given":"Jakhongir","non-dropping-particle":"","parse-names":false,"suffix":""},{"dropping-particle":"","family":"Iroda","given":"Jalolova","non-dropping-particle":"","parse-names":false,"suffix":""},{"dropping-particle":"","family":"Gulnoza","given":"Istamova","non-dropping-particle":"","parse-names":false,"suffix":""},{"dropping-particle":"","family":"Madina","given":"Rakhimova","non-dropping-particle":"","parse-names":false,"suffix":""}],"container-title":"International Journal of Advanced Research","id":"ITEM-1","issued":{"date-parts":[["2020"]]},"title":"EXPLORATION EFFECTS OF HANDWRITING ON CHILDREN’S WRITING PROGRESS","type":"article-journal"},"uris":["http://www.mendeley.com/documents/?uuid=4dc812a6-6cd2-4be5-afa0-b9d015fbbbcf"]}],"mendeley":{"formattedCitation":"(J. Shaturaev et al., 2020)","plainTextFormattedCitation":"(J. Shaturaev et al., 2020)","previouslyFormattedCitation":"(J. Shaturaev et al., 2020)"},"properties":{"noteIndex":0},"schema":"https://github.com/citation-style-language/schema/raw/master/csl-citation.json"}</w:instrText>
      </w:r>
      <w:r w:rsidR="0054222F">
        <w:rPr>
          <w:rFonts w:ascii="Times New Roman" w:hAnsi="Times New Roman" w:cs="Times New Roman"/>
          <w:sz w:val="24"/>
          <w:szCs w:val="24"/>
          <w:shd w:val="clear" w:color="auto" w:fill="FFFFFF"/>
          <w:lang w:val="en-US"/>
        </w:rPr>
        <w:fldChar w:fldCharType="separate"/>
      </w:r>
      <w:r w:rsidR="0054222F" w:rsidRPr="0054222F">
        <w:rPr>
          <w:rFonts w:ascii="Times New Roman" w:hAnsi="Times New Roman" w:cs="Times New Roman"/>
          <w:noProof/>
          <w:sz w:val="24"/>
          <w:szCs w:val="24"/>
          <w:shd w:val="clear" w:color="auto" w:fill="FFFFFF"/>
          <w:lang w:val="en-US"/>
        </w:rPr>
        <w:t>(J. Shaturaev et al., 2020)</w:t>
      </w:r>
      <w:r w:rsidR="0054222F">
        <w:rPr>
          <w:rFonts w:ascii="Times New Roman" w:hAnsi="Times New Roman" w:cs="Times New Roman"/>
          <w:sz w:val="24"/>
          <w:szCs w:val="24"/>
          <w:shd w:val="clear" w:color="auto" w:fill="FFFFFF"/>
          <w:lang w:val="en-US"/>
        </w:rPr>
        <w:fldChar w:fldCharType="end"/>
      </w:r>
      <w:r w:rsidRPr="00D45F59">
        <w:rPr>
          <w:rFonts w:ascii="Times New Roman" w:hAnsi="Times New Roman" w:cs="Times New Roman"/>
          <w:sz w:val="24"/>
          <w:szCs w:val="24"/>
          <w:shd w:val="clear" w:color="auto" w:fill="FFFFFF"/>
          <w:lang w:val="en-US"/>
        </w:rPr>
        <w:t>. The former provides a certificate of completed secondary education and the opportunity to enter university, the latter a diploma of specialized secondary education, through a network of secondary vocational institutions. Unemployment remains relatively high, and there are many people desperately in need of new or more appropriate skills. There are several state and donor programs in place to address the structural training shortfall. Eventually, the goal is to meet European Union standards. Non-university-level tertiary education is provided by national enterprise training centers and many business schools, as well as a center that trains professionals in new economic and service fields</w:t>
      </w:r>
      <w:r w:rsidR="0054222F">
        <w:rPr>
          <w:rFonts w:ascii="Times New Roman" w:hAnsi="Times New Roman" w:cs="Times New Roman"/>
          <w:sz w:val="24"/>
          <w:szCs w:val="24"/>
          <w:shd w:val="clear" w:color="auto" w:fill="FFFFFF"/>
          <w:lang w:val="en-US"/>
        </w:rPr>
        <w:t xml:space="preserve"> </w:t>
      </w:r>
      <w:r w:rsidR="0054222F">
        <w:rPr>
          <w:rFonts w:ascii="Times New Roman" w:hAnsi="Times New Roman" w:cs="Times New Roman"/>
          <w:sz w:val="24"/>
          <w:szCs w:val="24"/>
          <w:shd w:val="clear" w:color="auto" w:fill="FFFFFF"/>
          <w:lang w:val="en-US"/>
        </w:rPr>
        <w:fldChar w:fldCharType="begin" w:fldLock="1"/>
      </w:r>
      <w:r w:rsidR="0054222F">
        <w:rPr>
          <w:rFonts w:ascii="Times New Roman" w:hAnsi="Times New Roman" w:cs="Times New Roman"/>
          <w:sz w:val="24"/>
          <w:szCs w:val="24"/>
          <w:shd w:val="clear" w:color="auto" w:fill="FFFFFF"/>
          <w:lang w:val="en-US"/>
        </w:rPr>
        <w:instrText>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 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Uzbekistan","type":"thesis"},"uris":["http://www.mendeley.com/documents/?uuid=3a9a0214-f135-4ef6-a8fc-fc646d9a81bf"]}],"mendeley":{"formattedCitation":"(J. Shaturaev, 2014)","plainTextFormattedCitation":"(J. Shaturaev, 2014)","previouslyFormattedCitation":"(J. Shaturaev, 2014)"},"properties":{"noteIndex":0},"schema":"https://github.com/citation-style-language/schema/raw/master/csl-citation.json"}</w:instrText>
      </w:r>
      <w:r w:rsidR="0054222F">
        <w:rPr>
          <w:rFonts w:ascii="Times New Roman" w:hAnsi="Times New Roman" w:cs="Times New Roman"/>
          <w:sz w:val="24"/>
          <w:szCs w:val="24"/>
          <w:shd w:val="clear" w:color="auto" w:fill="FFFFFF"/>
          <w:lang w:val="en-US"/>
        </w:rPr>
        <w:fldChar w:fldCharType="separate"/>
      </w:r>
      <w:r w:rsidR="0054222F" w:rsidRPr="0054222F">
        <w:rPr>
          <w:rFonts w:ascii="Times New Roman" w:hAnsi="Times New Roman" w:cs="Times New Roman"/>
          <w:noProof/>
          <w:sz w:val="24"/>
          <w:szCs w:val="24"/>
          <w:shd w:val="clear" w:color="auto" w:fill="FFFFFF"/>
          <w:lang w:val="en-US"/>
        </w:rPr>
        <w:t>(J. Shaturaev, 2014)</w:t>
      </w:r>
      <w:r w:rsidR="0054222F">
        <w:rPr>
          <w:rFonts w:ascii="Times New Roman" w:hAnsi="Times New Roman" w:cs="Times New Roman"/>
          <w:sz w:val="24"/>
          <w:szCs w:val="24"/>
          <w:shd w:val="clear" w:color="auto" w:fill="FFFFFF"/>
          <w:lang w:val="en-US"/>
        </w:rPr>
        <w:fldChar w:fldCharType="end"/>
      </w:r>
      <w:r w:rsidRPr="00D45F59">
        <w:rPr>
          <w:rFonts w:ascii="Times New Roman" w:hAnsi="Times New Roman" w:cs="Times New Roman"/>
          <w:sz w:val="24"/>
          <w:szCs w:val="24"/>
          <w:shd w:val="clear" w:color="auto" w:fill="FFFFFF"/>
          <w:lang w:val="en-US"/>
        </w:rPr>
        <w:t>. Higher education is available from several universities and over 50 higher education institutes.</w:t>
      </w:r>
      <w:r w:rsidRPr="00D45F59">
        <w:rPr>
          <w:rFonts w:ascii="Times New Roman" w:hAnsi="Times New Roman" w:cs="Times New Roman"/>
          <w:sz w:val="24"/>
          <w:szCs w:val="24"/>
          <w:lang w:val="en-US"/>
        </w:rPr>
        <w:t xml:space="preserve"> </w:t>
      </w:r>
      <w:r w:rsidRPr="00D45F59">
        <w:rPr>
          <w:rFonts w:ascii="Times New Roman" w:hAnsi="Times New Roman" w:cs="Times New Roman"/>
          <w:sz w:val="24"/>
          <w:szCs w:val="24"/>
          <w:shd w:val="clear" w:color="auto" w:fill="FFFFFF"/>
          <w:lang w:val="en-US"/>
        </w:rPr>
        <w:t>The flagship is the Tashkent Islamic University opened not many years ago. On its grounds still stands the mausoleum of the grandfather of the Mughal Emperor Babur dating from the 15th Century.</w:t>
      </w:r>
    </w:p>
    <w:p w:rsidR="00D45F59" w:rsidRPr="00D45F59" w:rsidRDefault="00D45F59" w:rsidP="00D45F59">
      <w:pPr>
        <w:spacing w:after="0" w:line="360" w:lineRule="auto"/>
        <w:ind w:firstLine="426"/>
        <w:jc w:val="both"/>
        <w:rPr>
          <w:rFonts w:ascii="Times New Roman" w:hAnsi="Times New Roman" w:cs="Times New Roman"/>
          <w:sz w:val="24"/>
          <w:szCs w:val="24"/>
          <w:lang w:val="en-US"/>
        </w:rPr>
      </w:pPr>
    </w:p>
    <w:p w:rsidR="00D45F59" w:rsidRPr="0054222F" w:rsidRDefault="00FA7906" w:rsidP="00D45F59">
      <w:pPr>
        <w:tabs>
          <w:tab w:val="left" w:pos="2552"/>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Method and Materials </w:t>
      </w:r>
    </w:p>
    <w:p w:rsidR="00D45F59" w:rsidRPr="00D45F59" w:rsidRDefault="00D45F59" w:rsidP="00D45F59">
      <w:pPr>
        <w:autoSpaceDE w:val="0"/>
        <w:autoSpaceDN w:val="0"/>
        <w:adjustRightInd w:val="0"/>
        <w:spacing w:after="0" w:line="360" w:lineRule="auto"/>
        <w:jc w:val="both"/>
        <w:rPr>
          <w:rFonts w:ascii="Times New Roman" w:hAnsi="Times New Roman" w:cs="Times New Roman"/>
          <w:sz w:val="24"/>
          <w:szCs w:val="24"/>
        </w:rPr>
      </w:pPr>
      <w:r w:rsidRPr="00D45F59">
        <w:rPr>
          <w:rFonts w:ascii="Times New Roman" w:hAnsi="Times New Roman" w:cs="Times New Roman"/>
          <w:sz w:val="24"/>
          <w:szCs w:val="24"/>
          <w:lang w:val="en-US"/>
        </w:rPr>
        <w:t xml:space="preserve">Through the research, the author picked two methods of data collection: field observation and analysis of available data. The first phase consists of observation right in the field, interviews with school staff, as the purpose of the paper to define the current obstacles in primary education, core reasons for those issues, and exact solutions for those problems. As the Covid-19 pandemic is still challenging face-to-face communication, but the author tried to watch out for it with naked eyes, hence, visited possible schools in the capital of Uzbekistan, Tashkent city. Administrators from each participating school informed teachers, students, and parents about the study, including the benefits and potential risks to the children. All participants were informed of their right to leave the study at any time. Data were securely stored and maintained to protect children’s anonymity. </w:t>
      </w:r>
      <w:proofErr w:type="spellStart"/>
      <w:r w:rsidRPr="00D45F59">
        <w:rPr>
          <w:rFonts w:ascii="Times New Roman" w:hAnsi="Times New Roman" w:cs="Times New Roman"/>
          <w:sz w:val="24"/>
          <w:szCs w:val="24"/>
        </w:rPr>
        <w:t>The</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four</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key</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aims</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of</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the</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research</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were</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to</w:t>
      </w:r>
      <w:proofErr w:type="spellEnd"/>
      <w:r w:rsidRPr="00D45F59">
        <w:rPr>
          <w:rFonts w:ascii="Times New Roman" w:hAnsi="Times New Roman" w:cs="Times New Roman"/>
          <w:sz w:val="24"/>
          <w:szCs w:val="24"/>
        </w:rPr>
        <w:t>:</w:t>
      </w:r>
    </w:p>
    <w:p w:rsidR="00D45F59" w:rsidRPr="00D45F59" w:rsidRDefault="00D45F59" w:rsidP="00BA71D2">
      <w:pPr>
        <w:pStyle w:val="a4"/>
        <w:numPr>
          <w:ilvl w:val="0"/>
          <w:numId w:val="1"/>
        </w:numPr>
        <w:autoSpaceDE w:val="0"/>
        <w:autoSpaceDN w:val="0"/>
        <w:adjustRightInd w:val="0"/>
        <w:jc w:val="both"/>
        <w:rPr>
          <w:rFonts w:ascii="Times New Roman" w:hAnsi="Times New Roman"/>
          <w:sz w:val="24"/>
          <w:szCs w:val="24"/>
          <w:lang w:val="en-US"/>
        </w:rPr>
      </w:pPr>
      <w:r w:rsidRPr="00D45F59">
        <w:rPr>
          <w:rFonts w:ascii="Times New Roman" w:hAnsi="Times New Roman"/>
          <w:sz w:val="24"/>
          <w:szCs w:val="24"/>
          <w:lang w:val="en-US"/>
        </w:rPr>
        <w:lastRenderedPageBreak/>
        <w:t>assess learning levels (both in terms of content knowledge and performance by cognitive domain) among children at the end of primary school</w:t>
      </w:r>
    </w:p>
    <w:p w:rsidR="00D45F59" w:rsidRPr="00D45F59" w:rsidRDefault="00D45F59" w:rsidP="00D45F59">
      <w:pPr>
        <w:pStyle w:val="a4"/>
        <w:numPr>
          <w:ilvl w:val="0"/>
          <w:numId w:val="1"/>
        </w:numPr>
        <w:autoSpaceDE w:val="0"/>
        <w:autoSpaceDN w:val="0"/>
        <w:adjustRightInd w:val="0"/>
        <w:jc w:val="both"/>
        <w:rPr>
          <w:rFonts w:ascii="Times New Roman" w:hAnsi="Times New Roman"/>
          <w:sz w:val="24"/>
          <w:szCs w:val="24"/>
          <w:lang w:val="en-US"/>
        </w:rPr>
      </w:pPr>
      <w:r w:rsidRPr="00D45F59">
        <w:rPr>
          <w:rFonts w:ascii="Times New Roman" w:hAnsi="Times New Roman"/>
          <w:sz w:val="24"/>
          <w:szCs w:val="24"/>
          <w:lang w:val="en-US"/>
        </w:rPr>
        <w:t>understand background factors that may influence learning levels</w:t>
      </w:r>
    </w:p>
    <w:p w:rsidR="00D45F59" w:rsidRPr="00D45F59" w:rsidRDefault="00D45F59" w:rsidP="00D45F59">
      <w:pPr>
        <w:pStyle w:val="a4"/>
        <w:numPr>
          <w:ilvl w:val="0"/>
          <w:numId w:val="1"/>
        </w:numPr>
        <w:autoSpaceDE w:val="0"/>
        <w:autoSpaceDN w:val="0"/>
        <w:adjustRightInd w:val="0"/>
        <w:jc w:val="both"/>
        <w:rPr>
          <w:rFonts w:ascii="Times New Roman" w:hAnsi="Times New Roman"/>
          <w:sz w:val="24"/>
          <w:szCs w:val="24"/>
        </w:rPr>
      </w:pPr>
      <w:r w:rsidRPr="00D45F59">
        <w:rPr>
          <w:rFonts w:ascii="Times New Roman" w:hAnsi="Times New Roman"/>
          <w:sz w:val="24"/>
          <w:szCs w:val="24"/>
          <w:lang w:val="en-US"/>
        </w:rPr>
        <w:t xml:space="preserve">provide a starting point to demonstrate the use of national assessments (and </w:t>
      </w:r>
      <w:r w:rsidRPr="00D45F59">
        <w:rPr>
          <w:rFonts w:ascii="Times New Roman" w:hAnsi="Times New Roman"/>
          <w:sz w:val="24"/>
          <w:szCs w:val="24"/>
        </w:rPr>
        <w:t>their analysis) to systematically track effective learning and quality</w:t>
      </w:r>
      <w:r w:rsidRPr="00D45F59">
        <w:rPr>
          <w:rFonts w:ascii="Times New Roman" w:hAnsi="Times New Roman"/>
          <w:sz w:val="24"/>
          <w:szCs w:val="24"/>
          <w:lang w:val="en-US"/>
        </w:rPr>
        <w:t xml:space="preserve"> </w:t>
      </w:r>
      <w:r w:rsidRPr="00D45F59">
        <w:rPr>
          <w:rFonts w:ascii="Times New Roman" w:hAnsi="Times New Roman"/>
          <w:sz w:val="24"/>
          <w:szCs w:val="24"/>
        </w:rPr>
        <w:t>improvement</w:t>
      </w:r>
    </w:p>
    <w:p w:rsidR="00D45F59" w:rsidRPr="00D45F59" w:rsidRDefault="00D45F59" w:rsidP="00D45F59">
      <w:pPr>
        <w:pStyle w:val="a4"/>
        <w:numPr>
          <w:ilvl w:val="0"/>
          <w:numId w:val="2"/>
        </w:numPr>
        <w:jc w:val="both"/>
        <w:rPr>
          <w:rFonts w:ascii="Times New Roman" w:hAnsi="Times New Roman"/>
          <w:sz w:val="24"/>
          <w:szCs w:val="24"/>
          <w:lang w:val="en-US"/>
        </w:rPr>
      </w:pPr>
      <w:r w:rsidRPr="00D45F59">
        <w:rPr>
          <w:rFonts w:ascii="Times New Roman" w:hAnsi="Times New Roman"/>
          <w:sz w:val="24"/>
          <w:szCs w:val="24"/>
          <w:lang w:val="en-US"/>
        </w:rPr>
        <w:t xml:space="preserve">provide recommendations for policymaking to improve the quality of education. </w:t>
      </w:r>
    </w:p>
    <w:p w:rsidR="00D45F59" w:rsidRPr="00D45F59" w:rsidRDefault="00D45F59" w:rsidP="00D45F59">
      <w:pPr>
        <w:spacing w:after="0" w:line="360" w:lineRule="auto"/>
        <w:ind w:firstLine="426"/>
        <w:jc w:val="both"/>
        <w:rPr>
          <w:rFonts w:ascii="Times New Roman" w:hAnsi="Times New Roman" w:cs="Times New Roman"/>
          <w:sz w:val="24"/>
          <w:szCs w:val="24"/>
          <w:lang w:val="en-US"/>
        </w:rPr>
      </w:pPr>
    </w:p>
    <w:p w:rsidR="00D45F59" w:rsidRPr="0054222F" w:rsidRDefault="00FA7906" w:rsidP="00D45F5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and Discussion </w:t>
      </w:r>
    </w:p>
    <w:p w:rsidR="00D45F59" w:rsidRPr="00D45F59" w:rsidRDefault="00D45F59" w:rsidP="00D45F59">
      <w:pPr>
        <w:autoSpaceDE w:val="0"/>
        <w:autoSpaceDN w:val="0"/>
        <w:adjustRightInd w:val="0"/>
        <w:spacing w:after="0"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lang w:val="en-US"/>
        </w:rPr>
        <w:t>Uzbekistan’s new government has prompted broad political reforms with the introduction of its Development Strategy 2017–2021. These changes aim to expand economic growth, increase employment, encourage innovation, and improve skills and experience. A key focus is to improve the quality of education and learning among children and youth. This long-term economic investment will ultimately support the introduction of a more skilled and competent workforce. While Uzbekistan has made remarkable progress in improving access to general secondary education and achieving gender parity in school enrolment, the quality of education is not well understood. To address this knowledge gap, a national learning achievement survey was conducted by UNICEF Uzbekistan in 2018</w:t>
      </w:r>
      <w:r w:rsidR="0054222F">
        <w:rPr>
          <w:rFonts w:ascii="Times New Roman" w:hAnsi="Times New Roman" w:cs="Times New Roman"/>
          <w:sz w:val="24"/>
          <w:szCs w:val="24"/>
          <w:lang w:val="en-US"/>
        </w:rPr>
        <w:t xml:space="preserve"> </w:t>
      </w:r>
      <w:r w:rsidR="0054222F">
        <w:rPr>
          <w:rFonts w:ascii="Times New Roman" w:hAnsi="Times New Roman" w:cs="Times New Roman"/>
          <w:sz w:val="24"/>
          <w:szCs w:val="24"/>
          <w:lang w:val="en-US"/>
        </w:rPr>
        <w:fldChar w:fldCharType="begin" w:fldLock="1"/>
      </w:r>
      <w:r w:rsidR="0054222F">
        <w:rPr>
          <w:rFonts w:ascii="Times New Roman" w:hAnsi="Times New Roman" w:cs="Times New Roman"/>
          <w:sz w:val="24"/>
          <w:szCs w:val="24"/>
          <w:lang w:val="en-US"/>
        </w:rPr>
        <w:instrText>ADDIN CSL_CITATION {"citationItems":[{"id":"ITEM-1","itemData":{"DOI":"10.21474/IJAR01/12470","abstract":"The Government of Uzbekistan, experiencing modern reforms in an educational sector as a strategic part of a development program after the last presidential elections, spends an enormous portion of its resources on public education – significantly more than other countries in Central Asia, elsewhere with a similar income level, however, it is yet to pay off. Meanwhile, far in South-East Asia, Indonesia has made dramatic progress on expanding access to education, directing a huge stream of money towards formal education over the past few decades, but still, the learning outcomes remain low. In addition to key reforms in mandatory schooling in terms of increased quality of investment, utilization of information, communications hold considerable promise in improving educational outcomes. This comparative study on the compulsory education of both counties investigates financing and educational concerns in Indonesia and Uzbekistan. Drawing on our findings indicating the need for long-term educational reforms and proper investments in public education to reach promising milestones.","author":[{"dropping-particle":"","family":"Shaturaev","given":"Jakhongir","non-dropping-particle":"","parse-names":false,"suffix":""}],"container-title":"International Journal of Advanced Research","id":"ITEM-1","issue":"02","issued":{"date-parts":[["2021"]]},"page":"461-474","title":"A REVIEW OF NATIONAL EDUCATION SYSTEM OF INDONESIA AND UZBEKISTAN : Manuscript Info Abstract Introduction : - ISSN : 2320-5407","type":"article-journal","volume":"9"},"uris":["http://www.mendeley.com/documents/?uuid=49267a2e-797b-494e-93a0-c5531efdb80c"]}],"mendeley":{"formattedCitation":"(J. Shaturaev, 2021)","plainTextFormattedCitation":"(J. Shaturaev, 2021)","previouslyFormattedCitation":"(J. Shaturaev, 2021)"},"properties":{"noteIndex":0},"schema":"https://github.com/citation-style-language/schema/raw/master/csl-citation.json"}</w:instrText>
      </w:r>
      <w:r w:rsidR="0054222F">
        <w:rPr>
          <w:rFonts w:ascii="Times New Roman" w:hAnsi="Times New Roman" w:cs="Times New Roman"/>
          <w:sz w:val="24"/>
          <w:szCs w:val="24"/>
          <w:lang w:val="en-US"/>
        </w:rPr>
        <w:fldChar w:fldCharType="separate"/>
      </w:r>
      <w:r w:rsidR="0054222F" w:rsidRPr="0054222F">
        <w:rPr>
          <w:rFonts w:ascii="Times New Roman" w:hAnsi="Times New Roman" w:cs="Times New Roman"/>
          <w:noProof/>
          <w:sz w:val="24"/>
          <w:szCs w:val="24"/>
          <w:lang w:val="en-US"/>
        </w:rPr>
        <w:t>(J. Shaturaev, 2021)</w:t>
      </w:r>
      <w:r w:rsidR="0054222F">
        <w:rPr>
          <w:rFonts w:ascii="Times New Roman" w:hAnsi="Times New Roman" w:cs="Times New Roman"/>
          <w:sz w:val="24"/>
          <w:szCs w:val="24"/>
          <w:lang w:val="en-US"/>
        </w:rPr>
        <w:fldChar w:fldCharType="end"/>
      </w:r>
      <w:r w:rsidRPr="00D45F59">
        <w:rPr>
          <w:rFonts w:ascii="Times New Roman" w:hAnsi="Times New Roman" w:cs="Times New Roman"/>
          <w:sz w:val="24"/>
          <w:szCs w:val="24"/>
          <w:lang w:val="en-US"/>
        </w:rPr>
        <w:t xml:space="preserve">. This comprehensive study provides the first insights into children’s school performance at the primary level, and the causes and correlations of learning and education quality in Uzbekistan. It also offers a crucial benchmark, enabling comparisons of educational performance within and beyond Uzbekistan, and lays the groundwork for optimizing children’s learning outcomes. In 2010, UNICEF reported that although school enrolment rates were high in Uzbekistan, sparse data were available on the quality of education and learning outcomes </w:t>
      </w:r>
      <w:r w:rsidRPr="00D45F59">
        <w:rPr>
          <w:rFonts w:ascii="Times New Roman" w:hAnsi="Times New Roman" w:cs="Times New Roman"/>
          <w:sz w:val="24"/>
          <w:szCs w:val="24"/>
        </w:rPr>
        <w:fldChar w:fldCharType="begin" w:fldLock="1"/>
      </w:r>
      <w:r w:rsidR="0054222F">
        <w:rPr>
          <w:rFonts w:ascii="Times New Roman" w:hAnsi="Times New Roman" w:cs="Times New Roman"/>
          <w:sz w:val="24"/>
          <w:szCs w:val="24"/>
          <w:lang w:val="en-US"/>
        </w:rPr>
        <w:instrText>ADDIN CSL_CITATION {"citationItems":[{"id":"ITEM-1","itemData":{"DOI":"10.21474/ijar01/10008","abstract":"The purpose of this special issue is to examine small businesses, innovation and entrepreneurship and show that although these three concepts have their own specific literature and can be dealt with independently, they are closely related. From Schumpeter to the present, a stream of literature unites the concept of entrepreneurship with its ability to make new combinations of factors and corresponding innovations in processes and products; similarly, in a broad stream of literature the most characteristic dimension of entrepreneurship is closely linked to small businesses. Small and large companies have different advantages and drawbacks with innovation, but small businesses provide the most conducive environment for entrepreneurship and innovation that are not necessarily sustained by the know-how and resources characteristic of large scale production but require commitment and close cooperation between company members. In this introduction we show how the three topics converge in four articles dealing with micro start-ups and innovation, institutional determinants of entrepreneurship and determining factors in entrepreneurs’ individual characteristics.","author":[{"dropping-particle":"","family":"Shaturaev","given":"J.N.","non-dropping-particle":"","parse-names":false,"suffix":""},{"dropping-particle":"","family":"Jumaev","given":"H.Sh.","non-dropping-particle":"","parse-names":false,"suffix":""}],"container-title":"International Journal of Advanced Research","id":"ITEM-1","issued":{"date-parts":[["2019"]]},"title":"SMALL BUSINESS, INNOVATION AND ENTREPRENEURSHIP","type":"article-journal"},"uris":["http://www.mendeley.com/documents/?uuid=a94b415f-c689-495b-8f72-ea75d3029613"]}],"mendeley":{"formattedCitation":"(J. N. Shaturaev &amp; Jumaev, 2019)","plainTextFormattedCitation":"(J. N. Shaturaev &amp; Jumaev, 2019)","previouslyFormattedCitation":"(J. N. Shaturaev &amp; Jumaev, 2019)"},"properties":{"noteIndex":0},"schema":"https://github.com/citation-style-language/schema/raw/master/csl-citation.json"}</w:instrText>
      </w:r>
      <w:r w:rsidRPr="00D45F59">
        <w:rPr>
          <w:rFonts w:ascii="Times New Roman" w:hAnsi="Times New Roman" w:cs="Times New Roman"/>
          <w:sz w:val="24"/>
          <w:szCs w:val="24"/>
        </w:rPr>
        <w:fldChar w:fldCharType="separate"/>
      </w:r>
      <w:r w:rsidR="0054222F" w:rsidRPr="0054222F">
        <w:rPr>
          <w:rFonts w:ascii="Times New Roman" w:hAnsi="Times New Roman" w:cs="Times New Roman"/>
          <w:noProof/>
          <w:sz w:val="24"/>
          <w:szCs w:val="24"/>
          <w:lang w:val="en-US"/>
        </w:rPr>
        <w:t>(J. N. Shaturaev &amp; Jumaev, 2019)</w:t>
      </w:r>
      <w:r w:rsidRPr="00D45F59">
        <w:rPr>
          <w:rFonts w:ascii="Times New Roman" w:hAnsi="Times New Roman" w:cs="Times New Roman"/>
          <w:sz w:val="24"/>
          <w:szCs w:val="24"/>
        </w:rPr>
        <w:fldChar w:fldCharType="end"/>
      </w:r>
      <w:r w:rsidRPr="00D45F59">
        <w:rPr>
          <w:rFonts w:ascii="Times New Roman" w:hAnsi="Times New Roman" w:cs="Times New Roman"/>
          <w:sz w:val="24"/>
          <w:szCs w:val="24"/>
          <w:lang w:val="en-US"/>
        </w:rPr>
        <w:t xml:space="preserve">. This situation has not changed over the last decade, even though education remains a priority of government social policy. Within the context of the country’s ongoing education sector reforms, there is a recognized need for evidence on children’s learning to inform and support further progress. Besides, as a signatory to the United Nations Sustainable Development Goals, Uzbekistan is responsible for achieving some educational targets. These include Target 4.1: “By 2030, ensure that all girls and boys complete free, equitable and quality primary and secondary education leading to relevant and Goal-4 effective learning outcomes.” To progress towards the achievement of quality education for all children, UNICEF Uzbekistan, the Ministry of Public Education, and the wider Government of Uzbekistan worked together to conduct the most comprehensive assessment of primary school student learning to date. </w:t>
      </w:r>
    </w:p>
    <w:p w:rsidR="00FA7906" w:rsidRDefault="00FA7906" w:rsidP="00D45F59">
      <w:pPr>
        <w:spacing w:before="240" w:after="0" w:line="360" w:lineRule="auto"/>
        <w:jc w:val="both"/>
        <w:rPr>
          <w:rFonts w:ascii="Times New Roman" w:hAnsi="Times New Roman" w:cs="Times New Roman"/>
          <w:b/>
          <w:i/>
          <w:sz w:val="24"/>
          <w:szCs w:val="24"/>
          <w:lang w:val="en-US"/>
        </w:rPr>
      </w:pPr>
    </w:p>
    <w:p w:rsidR="00D45F59" w:rsidRPr="00D45F59" w:rsidRDefault="00D45F59" w:rsidP="00D45F59">
      <w:pPr>
        <w:spacing w:before="240" w:after="0" w:line="360" w:lineRule="auto"/>
        <w:jc w:val="both"/>
        <w:rPr>
          <w:rFonts w:ascii="Times New Roman" w:hAnsi="Times New Roman" w:cs="Times New Roman"/>
          <w:b/>
          <w:i/>
          <w:sz w:val="24"/>
          <w:szCs w:val="24"/>
          <w:lang w:val="en-US"/>
        </w:rPr>
      </w:pPr>
      <w:r w:rsidRPr="00D45F59">
        <w:rPr>
          <w:rFonts w:ascii="Times New Roman" w:hAnsi="Times New Roman" w:cs="Times New Roman"/>
          <w:b/>
          <w:i/>
          <w:sz w:val="24"/>
          <w:szCs w:val="24"/>
          <w:lang w:val="en-US"/>
        </w:rPr>
        <w:lastRenderedPageBreak/>
        <w:t>Primary Education System</w:t>
      </w:r>
    </w:p>
    <w:p w:rsidR="00D45F59" w:rsidRPr="00D45F59" w:rsidRDefault="00D45F59" w:rsidP="00D45F59">
      <w:pPr>
        <w:spacing w:after="0" w:line="360" w:lineRule="auto"/>
        <w:jc w:val="both"/>
        <w:rPr>
          <w:rFonts w:ascii="Times New Roman" w:hAnsi="Times New Roman" w:cs="Times New Roman"/>
          <w:sz w:val="24"/>
          <w:szCs w:val="24"/>
          <w:lang w:val="en-US"/>
        </w:rPr>
      </w:pPr>
      <w:r w:rsidRPr="00D45F59">
        <w:rPr>
          <w:rFonts w:ascii="Times New Roman" w:hAnsi="Times New Roman" w:cs="Times New Roman"/>
          <w:sz w:val="24"/>
          <w:szCs w:val="24"/>
          <w:lang w:val="en-US"/>
        </w:rPr>
        <w:t xml:space="preserve">General (basic) education is provided in several types of basic education schools: schools with only primary education (Grades I-IV); schools that offer partial (Grades I-IX) and complete (Grades I-XI) secondary education; adult education centers, and specialized schools and boarding schools for students with disabilities. General education is also available in new types of institutions (gymnasia and lyceums), some of them attached to higher education institutions. General basic education is followed by two or three years of upper secondary education (leading to the Certificate of Completed Secondary Education) or vocational and technical (VTE) education </w:t>
      </w:r>
      <w:r w:rsidRPr="00D45F59">
        <w:rPr>
          <w:rFonts w:ascii="Times New Roman" w:hAnsi="Times New Roman" w:cs="Times New Roman"/>
          <w:sz w:val="24"/>
          <w:szCs w:val="24"/>
        </w:rPr>
        <w:fldChar w:fldCharType="begin" w:fldLock="1"/>
      </w:r>
      <w:r w:rsidR="0054222F">
        <w:rPr>
          <w:rFonts w:ascii="Times New Roman" w:hAnsi="Times New Roman" w:cs="Times New Roman"/>
          <w:sz w:val="24"/>
          <w:szCs w:val="24"/>
          <w:lang w:val="en-US"/>
        </w:rPr>
        <w:instrText>ADDIN CSL_CITATION {"citationItems":[{"id":"ITEM-1","itemData":{"DOI":"10.21474/ijar01/10237","abstract":"Handwriting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 Jakhongir","given":"","non-dropping-particle":"","parse-names":false,"suffix":""}],"container-title":"International Journal of Advanced Research","id":"ITEM-1","issue":"12","issued":{"date-parts":[["2019"]]},"page":"947-954","title":"The Importance of Handwriting in Education","type":"article-journal","volume":"7"},"uris":["http://www.mendeley.com/documents/?uuid=200d1ae4-e92a-4ef9-b76d-4cd63c7f7cde"]}],"mendeley":{"formattedCitation":"(Shaturaev Jakhongir, 2019)","plainTextFormattedCitation":"(Shaturaev Jakhongir, 2019)","previouslyFormattedCitation":"(Shaturaev Jakhongir, 2019)"},"properties":{"noteIndex":0},"schema":"https://github.com/citation-style-language/schema/raw/master/csl-citation.json"}</w:instrText>
      </w:r>
      <w:r w:rsidRPr="00D45F59">
        <w:rPr>
          <w:rFonts w:ascii="Times New Roman" w:hAnsi="Times New Roman" w:cs="Times New Roman"/>
          <w:sz w:val="24"/>
          <w:szCs w:val="24"/>
        </w:rPr>
        <w:fldChar w:fldCharType="separate"/>
      </w:r>
      <w:r w:rsidR="0054222F" w:rsidRPr="0054222F">
        <w:rPr>
          <w:rFonts w:ascii="Times New Roman" w:hAnsi="Times New Roman" w:cs="Times New Roman"/>
          <w:noProof/>
          <w:sz w:val="24"/>
          <w:szCs w:val="24"/>
          <w:lang w:val="en-US"/>
        </w:rPr>
        <w:t>(Shaturaev Jakhongir, 2019)</w:t>
      </w:r>
      <w:r w:rsidRPr="00D45F59">
        <w:rPr>
          <w:rFonts w:ascii="Times New Roman" w:hAnsi="Times New Roman" w:cs="Times New Roman"/>
          <w:sz w:val="24"/>
          <w:szCs w:val="24"/>
        </w:rPr>
        <w:fldChar w:fldCharType="end"/>
      </w:r>
      <w:r w:rsidRPr="00D45F59">
        <w:rPr>
          <w:rFonts w:ascii="Times New Roman" w:hAnsi="Times New Roman" w:cs="Times New Roman"/>
          <w:sz w:val="24"/>
          <w:szCs w:val="24"/>
          <w:lang w:val="en-US"/>
        </w:rPr>
        <w:t xml:space="preserve">. This is provided at two levels: the first level offers six months to three years of basic vocational training after </w:t>
      </w:r>
      <w:proofErr w:type="spellStart"/>
      <w:r w:rsidRPr="00D45F59">
        <w:rPr>
          <w:rFonts w:ascii="Times New Roman" w:hAnsi="Times New Roman" w:cs="Times New Roman"/>
          <w:sz w:val="24"/>
          <w:szCs w:val="24"/>
          <w:lang w:val="en-US"/>
        </w:rPr>
        <w:t>GradeIX</w:t>
      </w:r>
      <w:proofErr w:type="spellEnd"/>
      <w:r w:rsidRPr="00D45F59">
        <w:rPr>
          <w:rFonts w:ascii="Times New Roman" w:hAnsi="Times New Roman" w:cs="Times New Roman"/>
          <w:sz w:val="24"/>
          <w:szCs w:val="24"/>
          <w:lang w:val="en-US"/>
        </w:rPr>
        <w:t xml:space="preserve">; the second level generally offers at least two years of training (post-secondary) in over 300 specializations leading to the Diploma of Specialized secondary education. A network of specialized secondary vocational institutions was formed in 1997/98. </w:t>
      </w:r>
      <w:proofErr w:type="spellStart"/>
      <w:r w:rsidRPr="00D45F59">
        <w:rPr>
          <w:rFonts w:ascii="Times New Roman" w:hAnsi="Times New Roman" w:cs="Times New Roman"/>
          <w:sz w:val="24"/>
          <w:szCs w:val="24"/>
        </w:rPr>
        <w:t>Literacy</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is</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practically</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universal</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for</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both</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men</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and</w:t>
      </w:r>
      <w:proofErr w:type="spellEnd"/>
      <w:r w:rsidRPr="00D45F59">
        <w:rPr>
          <w:rFonts w:ascii="Times New Roman" w:hAnsi="Times New Roman" w:cs="Times New Roman"/>
          <w:sz w:val="24"/>
          <w:szCs w:val="24"/>
        </w:rPr>
        <w:t xml:space="preserve"> </w:t>
      </w:r>
      <w:proofErr w:type="spellStart"/>
      <w:r w:rsidRPr="00D45F59">
        <w:rPr>
          <w:rFonts w:ascii="Times New Roman" w:hAnsi="Times New Roman" w:cs="Times New Roman"/>
          <w:sz w:val="24"/>
          <w:szCs w:val="24"/>
        </w:rPr>
        <w:t>women</w:t>
      </w:r>
      <w:proofErr w:type="spellEnd"/>
      <w:r w:rsidRPr="00D45F59">
        <w:rPr>
          <w:rFonts w:ascii="Times New Roman" w:hAnsi="Times New Roman" w:cs="Times New Roman"/>
          <w:sz w:val="24"/>
          <w:szCs w:val="24"/>
        </w:rPr>
        <w:t xml:space="preserve"> (99%) </w:t>
      </w:r>
      <w:r w:rsidRPr="00D45F59">
        <w:rPr>
          <w:rFonts w:ascii="Times New Roman" w:hAnsi="Times New Roman" w:cs="Times New Roman"/>
          <w:sz w:val="24"/>
          <w:szCs w:val="24"/>
        </w:rPr>
        <w:fldChar w:fldCharType="begin" w:fldLock="1"/>
      </w:r>
      <w:r w:rsidR="0054222F">
        <w:rPr>
          <w:rFonts w:ascii="Times New Roman" w:hAnsi="Times New Roman" w:cs="Times New Roman"/>
          <w:sz w:val="24"/>
          <w:szCs w:val="24"/>
        </w:rPr>
        <w:instrText xml:space="preserve">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 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simultaneously, </w:instrText>
      </w:r>
      <w:r w:rsidR="0054222F" w:rsidRPr="0054222F">
        <w:rPr>
          <w:rFonts w:ascii="Times New Roman" w:hAnsi="Times New Roman" w:cs="Times New Roman"/>
          <w:sz w:val="24"/>
          <w:szCs w:val="24"/>
          <w:lang w:val="en-US"/>
        </w:rPr>
        <w:instrText>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Uzbekistan","type":"thesis"},"uris":["http://www.mendeley.com/documents/?uuid=3a9a0214-f135-4ef6-a8fc-fc646d9a81bf"]}],"mendeley":{"formattedCitation":"(J. Shaturaev, 2014)","plainTextFormattedCitation":"(J. Shaturaev, 2014)","previouslyFormattedCitation":"(J. Shaturaev, 2014)"},"properties":{"noteIndex":0},"schema":"https://github.com/citation-style-language/schema/raw/master/csl-citation.json"}</w:instrText>
      </w:r>
      <w:r w:rsidRPr="00D45F59">
        <w:rPr>
          <w:rFonts w:ascii="Times New Roman" w:hAnsi="Times New Roman" w:cs="Times New Roman"/>
          <w:sz w:val="24"/>
          <w:szCs w:val="24"/>
        </w:rPr>
        <w:fldChar w:fldCharType="separate"/>
      </w:r>
      <w:r w:rsidR="0054222F" w:rsidRPr="0054222F">
        <w:rPr>
          <w:rFonts w:ascii="Times New Roman" w:hAnsi="Times New Roman" w:cs="Times New Roman"/>
          <w:noProof/>
          <w:sz w:val="24"/>
          <w:szCs w:val="24"/>
          <w:lang w:val="en-US"/>
        </w:rPr>
        <w:t>(J. Shaturaev, 2014)</w:t>
      </w:r>
      <w:r w:rsidRPr="00D45F59">
        <w:rPr>
          <w:rFonts w:ascii="Times New Roman" w:hAnsi="Times New Roman" w:cs="Times New Roman"/>
          <w:sz w:val="24"/>
          <w:szCs w:val="24"/>
        </w:rPr>
        <w:fldChar w:fldCharType="end"/>
      </w:r>
      <w:r w:rsidRPr="00D45F59">
        <w:rPr>
          <w:rFonts w:ascii="Times New Roman" w:hAnsi="Times New Roman" w:cs="Times New Roman"/>
          <w:sz w:val="24"/>
          <w:szCs w:val="24"/>
          <w:lang w:val="en-US"/>
        </w:rPr>
        <w:t>. However, considering that the government is implementing a long-term program of transition from Cyrillic to Latin script, in the short-term there could be some changes in the literacy rate. At the basic education level, 73% of the teachers have higher education while 22% have only secondary/vocational education. The retraining of teachers is a priority need taking into account the fundamental changes in the philosophy, content, and methods of education.</w:t>
      </w:r>
    </w:p>
    <w:tbl>
      <w:tblPr>
        <w:tblpPr w:leftFromText="180" w:rightFromText="180" w:vertAnchor="text" w:horzAnchor="page" w:tblpX="4158" w:tblpY="672"/>
        <w:tblW w:w="5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1193"/>
      </w:tblGrid>
      <w:tr w:rsidR="00D45F59" w:rsidRPr="00FA7906" w:rsidTr="00D45F59">
        <w:trPr>
          <w:trHeight w:val="144"/>
        </w:trPr>
        <w:tc>
          <w:tcPr>
            <w:tcW w:w="3879" w:type="dxa"/>
            <w:shd w:val="clear" w:color="auto" w:fill="auto"/>
            <w:hideMark/>
          </w:tcPr>
          <w:p w:rsidR="00D45F59" w:rsidRPr="0054222F" w:rsidRDefault="00D45F59" w:rsidP="00D45F59">
            <w:pPr>
              <w:shd w:val="clear" w:color="auto" w:fill="FFFFFF"/>
              <w:spacing w:after="0" w:line="240" w:lineRule="auto"/>
              <w:jc w:val="center"/>
              <w:rPr>
                <w:rFonts w:ascii="Times New Roman" w:eastAsia="Times New Roman" w:hAnsi="Times New Roman" w:cs="Times New Roman"/>
                <w:b/>
                <w:bCs/>
                <w:sz w:val="18"/>
                <w:szCs w:val="18"/>
                <w:lang w:val="en-US" w:eastAsia="ru-RU"/>
              </w:rPr>
            </w:pPr>
          </w:p>
        </w:tc>
        <w:tc>
          <w:tcPr>
            <w:tcW w:w="1193" w:type="dxa"/>
            <w:shd w:val="clear" w:color="auto" w:fill="auto"/>
            <w:hideMark/>
          </w:tcPr>
          <w:p w:rsidR="00D45F59" w:rsidRPr="0054222F" w:rsidRDefault="00D45F59" w:rsidP="00D45F59">
            <w:pPr>
              <w:spacing w:after="0" w:line="240" w:lineRule="auto"/>
              <w:jc w:val="center"/>
              <w:rPr>
                <w:rFonts w:ascii="Times New Roman" w:eastAsia="Times New Roman" w:hAnsi="Times New Roman" w:cs="Times New Roman"/>
                <w:sz w:val="18"/>
                <w:szCs w:val="18"/>
                <w:lang w:val="en-US" w:eastAsia="ru-RU"/>
              </w:rPr>
            </w:pPr>
          </w:p>
        </w:tc>
      </w:tr>
      <w:tr w:rsidR="00D45F59" w:rsidRPr="00D45F59" w:rsidTr="00D45F59">
        <w:trPr>
          <w:trHeight w:val="330"/>
        </w:trPr>
        <w:tc>
          <w:tcPr>
            <w:tcW w:w="0" w:type="auto"/>
            <w:shd w:val="clear" w:color="auto" w:fill="auto"/>
            <w:hideMark/>
          </w:tcPr>
          <w:p w:rsidR="00D45F59" w:rsidRPr="00D45F59" w:rsidRDefault="00D45F59" w:rsidP="00D45F59">
            <w:pPr>
              <w:spacing w:after="0" w:line="240" w:lineRule="auto"/>
              <w:rPr>
                <w:rFonts w:ascii="Times New Roman" w:eastAsia="Times New Roman" w:hAnsi="Times New Roman" w:cs="Times New Roman"/>
                <w:sz w:val="20"/>
                <w:szCs w:val="18"/>
                <w:lang w:eastAsia="ru-RU"/>
              </w:rPr>
            </w:pPr>
            <w:proofErr w:type="spellStart"/>
            <w:r w:rsidRPr="00D45F59">
              <w:rPr>
                <w:rFonts w:ascii="Times New Roman" w:eastAsia="Times New Roman" w:hAnsi="Times New Roman" w:cs="Times New Roman"/>
                <w:sz w:val="20"/>
                <w:szCs w:val="18"/>
                <w:lang w:eastAsia="ru-RU"/>
              </w:rPr>
              <w:t>Pre-primary</w:t>
            </w:r>
            <w:proofErr w:type="spellEnd"/>
          </w:p>
        </w:tc>
        <w:tc>
          <w:tcPr>
            <w:tcW w:w="0" w:type="auto"/>
            <w:shd w:val="clear" w:color="auto" w:fill="auto"/>
            <w:hideMark/>
          </w:tcPr>
          <w:p w:rsidR="00D45F59" w:rsidRPr="00D45F59" w:rsidRDefault="00D45F59" w:rsidP="00D45F59">
            <w:pPr>
              <w:spacing w:after="0" w:line="240" w:lineRule="auto"/>
              <w:jc w:val="right"/>
              <w:rPr>
                <w:rFonts w:ascii="Times New Roman" w:eastAsia="Times New Roman" w:hAnsi="Times New Roman" w:cs="Times New Roman"/>
                <w:sz w:val="20"/>
                <w:szCs w:val="18"/>
                <w:lang w:eastAsia="ru-RU"/>
              </w:rPr>
            </w:pPr>
            <w:r w:rsidRPr="00D45F59">
              <w:rPr>
                <w:rFonts w:ascii="Times New Roman" w:eastAsia="Times New Roman" w:hAnsi="Times New Roman" w:cs="Times New Roman"/>
                <w:sz w:val="20"/>
                <w:szCs w:val="18"/>
                <w:lang w:eastAsia="ru-RU"/>
              </w:rPr>
              <w:t>2,652,656</w:t>
            </w:r>
          </w:p>
        </w:tc>
      </w:tr>
      <w:tr w:rsidR="00D45F59" w:rsidRPr="00D45F59" w:rsidTr="00D45F59">
        <w:trPr>
          <w:trHeight w:val="330"/>
        </w:trPr>
        <w:tc>
          <w:tcPr>
            <w:tcW w:w="0" w:type="auto"/>
            <w:shd w:val="clear" w:color="auto" w:fill="auto"/>
            <w:hideMark/>
          </w:tcPr>
          <w:p w:rsidR="00D45F59" w:rsidRPr="00D45F59" w:rsidRDefault="00D45F59" w:rsidP="00D45F59">
            <w:pPr>
              <w:spacing w:after="0" w:line="240" w:lineRule="auto"/>
              <w:rPr>
                <w:rFonts w:ascii="Times New Roman" w:eastAsia="Times New Roman" w:hAnsi="Times New Roman" w:cs="Times New Roman"/>
                <w:sz w:val="20"/>
                <w:szCs w:val="18"/>
                <w:lang w:eastAsia="ru-RU"/>
              </w:rPr>
            </w:pPr>
            <w:proofErr w:type="spellStart"/>
            <w:r w:rsidRPr="00D45F59">
              <w:rPr>
                <w:rFonts w:ascii="Times New Roman" w:eastAsia="Times New Roman" w:hAnsi="Times New Roman" w:cs="Times New Roman"/>
                <w:sz w:val="20"/>
                <w:szCs w:val="18"/>
                <w:lang w:eastAsia="ru-RU"/>
              </w:rPr>
              <w:t>Primary</w:t>
            </w:r>
            <w:proofErr w:type="spellEnd"/>
          </w:p>
        </w:tc>
        <w:tc>
          <w:tcPr>
            <w:tcW w:w="0" w:type="auto"/>
            <w:shd w:val="clear" w:color="auto" w:fill="auto"/>
            <w:hideMark/>
          </w:tcPr>
          <w:p w:rsidR="00D45F59" w:rsidRPr="00D45F59" w:rsidRDefault="00D45F59" w:rsidP="00D45F59">
            <w:pPr>
              <w:spacing w:after="0" w:line="240" w:lineRule="auto"/>
              <w:jc w:val="right"/>
              <w:rPr>
                <w:rFonts w:ascii="Times New Roman" w:eastAsia="Times New Roman" w:hAnsi="Times New Roman" w:cs="Times New Roman"/>
                <w:sz w:val="20"/>
                <w:szCs w:val="18"/>
                <w:lang w:eastAsia="ru-RU"/>
              </w:rPr>
            </w:pPr>
            <w:r w:rsidRPr="00D45F59">
              <w:rPr>
                <w:rFonts w:ascii="Times New Roman" w:eastAsia="Times New Roman" w:hAnsi="Times New Roman" w:cs="Times New Roman"/>
                <w:sz w:val="20"/>
                <w:szCs w:val="18"/>
                <w:lang w:eastAsia="ru-RU"/>
              </w:rPr>
              <w:t>2,451,471</w:t>
            </w:r>
          </w:p>
        </w:tc>
      </w:tr>
      <w:tr w:rsidR="00D45F59" w:rsidRPr="00D45F59" w:rsidTr="00D45F59">
        <w:trPr>
          <w:trHeight w:val="330"/>
        </w:trPr>
        <w:tc>
          <w:tcPr>
            <w:tcW w:w="0" w:type="auto"/>
            <w:shd w:val="clear" w:color="auto" w:fill="auto"/>
            <w:hideMark/>
          </w:tcPr>
          <w:p w:rsidR="00D45F59" w:rsidRPr="00D45F59" w:rsidRDefault="00D45F59" w:rsidP="00D45F59">
            <w:pPr>
              <w:spacing w:after="0" w:line="240" w:lineRule="auto"/>
              <w:rPr>
                <w:rFonts w:ascii="Times New Roman" w:eastAsia="Times New Roman" w:hAnsi="Times New Roman" w:cs="Times New Roman"/>
                <w:sz w:val="20"/>
                <w:szCs w:val="18"/>
                <w:lang w:eastAsia="ru-RU"/>
              </w:rPr>
            </w:pPr>
            <w:proofErr w:type="spellStart"/>
            <w:r w:rsidRPr="00D45F59">
              <w:rPr>
                <w:rFonts w:ascii="Times New Roman" w:eastAsia="Times New Roman" w:hAnsi="Times New Roman" w:cs="Times New Roman"/>
                <w:sz w:val="20"/>
                <w:szCs w:val="18"/>
                <w:lang w:eastAsia="ru-RU"/>
              </w:rPr>
              <w:t>Secondary</w:t>
            </w:r>
            <w:proofErr w:type="spellEnd"/>
          </w:p>
        </w:tc>
        <w:tc>
          <w:tcPr>
            <w:tcW w:w="0" w:type="auto"/>
            <w:shd w:val="clear" w:color="auto" w:fill="auto"/>
            <w:hideMark/>
          </w:tcPr>
          <w:p w:rsidR="00D45F59" w:rsidRPr="00D45F59" w:rsidRDefault="00D45F59" w:rsidP="00D45F59">
            <w:pPr>
              <w:spacing w:after="0" w:line="240" w:lineRule="auto"/>
              <w:jc w:val="right"/>
              <w:rPr>
                <w:rFonts w:ascii="Times New Roman" w:eastAsia="Times New Roman" w:hAnsi="Times New Roman" w:cs="Times New Roman"/>
                <w:sz w:val="20"/>
                <w:szCs w:val="18"/>
                <w:lang w:eastAsia="ru-RU"/>
              </w:rPr>
            </w:pPr>
            <w:r w:rsidRPr="00D45F59">
              <w:rPr>
                <w:rFonts w:ascii="Times New Roman" w:eastAsia="Times New Roman" w:hAnsi="Times New Roman" w:cs="Times New Roman"/>
                <w:sz w:val="20"/>
                <w:szCs w:val="18"/>
                <w:lang w:eastAsia="ru-RU"/>
              </w:rPr>
              <w:t>4,180,949</w:t>
            </w:r>
          </w:p>
        </w:tc>
      </w:tr>
      <w:tr w:rsidR="00D45F59" w:rsidRPr="00D45F59" w:rsidTr="00D45F59">
        <w:trPr>
          <w:trHeight w:val="330"/>
        </w:trPr>
        <w:tc>
          <w:tcPr>
            <w:tcW w:w="0" w:type="auto"/>
            <w:shd w:val="clear" w:color="auto" w:fill="auto"/>
            <w:hideMark/>
          </w:tcPr>
          <w:p w:rsidR="00D45F59" w:rsidRPr="00D45F59" w:rsidRDefault="00D45F59" w:rsidP="00D45F59">
            <w:pPr>
              <w:spacing w:after="0" w:line="240" w:lineRule="auto"/>
              <w:rPr>
                <w:rFonts w:ascii="Times New Roman" w:eastAsia="Times New Roman" w:hAnsi="Times New Roman" w:cs="Times New Roman"/>
                <w:sz w:val="20"/>
                <w:szCs w:val="18"/>
                <w:lang w:eastAsia="ru-RU"/>
              </w:rPr>
            </w:pPr>
            <w:proofErr w:type="spellStart"/>
            <w:r w:rsidRPr="00D45F59">
              <w:rPr>
                <w:rFonts w:ascii="Times New Roman" w:eastAsia="Times New Roman" w:hAnsi="Times New Roman" w:cs="Times New Roman"/>
                <w:sz w:val="20"/>
                <w:szCs w:val="18"/>
                <w:lang w:eastAsia="ru-RU"/>
              </w:rPr>
              <w:t>Tertiary</w:t>
            </w:r>
            <w:proofErr w:type="spellEnd"/>
          </w:p>
        </w:tc>
        <w:tc>
          <w:tcPr>
            <w:tcW w:w="0" w:type="auto"/>
            <w:shd w:val="clear" w:color="auto" w:fill="auto"/>
            <w:hideMark/>
          </w:tcPr>
          <w:p w:rsidR="00D45F59" w:rsidRPr="00D45F59" w:rsidRDefault="00D45F59" w:rsidP="00D45F59">
            <w:pPr>
              <w:spacing w:after="0" w:line="240" w:lineRule="auto"/>
              <w:jc w:val="right"/>
              <w:rPr>
                <w:rFonts w:ascii="Times New Roman" w:eastAsia="Times New Roman" w:hAnsi="Times New Roman" w:cs="Times New Roman"/>
                <w:sz w:val="20"/>
                <w:szCs w:val="18"/>
                <w:lang w:eastAsia="ru-RU"/>
              </w:rPr>
            </w:pPr>
            <w:r w:rsidRPr="00D45F59">
              <w:rPr>
                <w:rFonts w:ascii="Times New Roman" w:eastAsia="Times New Roman" w:hAnsi="Times New Roman" w:cs="Times New Roman"/>
                <w:sz w:val="20"/>
                <w:szCs w:val="18"/>
                <w:lang w:eastAsia="ru-RU"/>
              </w:rPr>
              <w:t>2,876,866</w:t>
            </w:r>
          </w:p>
        </w:tc>
      </w:tr>
    </w:tbl>
    <w:p w:rsidR="00D45F59" w:rsidRPr="00D45F59" w:rsidRDefault="00D45F59" w:rsidP="00D45F59">
      <w:pPr>
        <w:shd w:val="clear" w:color="auto" w:fill="FFFFFF"/>
        <w:spacing w:before="240" w:line="360" w:lineRule="auto"/>
        <w:ind w:left="2124" w:firstLine="708"/>
        <w:jc w:val="center"/>
        <w:rPr>
          <w:rFonts w:ascii="Times New Roman" w:eastAsia="Times New Roman" w:hAnsi="Times New Roman" w:cs="Times New Roman"/>
          <w:b/>
          <w:bCs/>
          <w:sz w:val="24"/>
          <w:szCs w:val="24"/>
          <w:lang w:val="en-US" w:eastAsia="ru-RU"/>
        </w:rPr>
      </w:pPr>
      <w:r w:rsidRPr="00D45F59">
        <w:rPr>
          <w:rFonts w:ascii="Times New Roman" w:eastAsia="Times New Roman" w:hAnsi="Times New Roman" w:cs="Times New Roman"/>
          <w:b/>
          <w:bCs/>
          <w:sz w:val="24"/>
          <w:szCs w:val="24"/>
          <w:lang w:val="en-US" w:eastAsia="ru-RU"/>
        </w:rPr>
        <w:t>School-age population by education level</w:t>
      </w:r>
      <w:r>
        <w:rPr>
          <w:rFonts w:ascii="Times New Roman" w:eastAsia="Times New Roman" w:hAnsi="Times New Roman" w:cs="Times New Roman"/>
          <w:b/>
          <w:bCs/>
          <w:sz w:val="24"/>
          <w:szCs w:val="24"/>
          <w:lang w:val="en-US" w:eastAsia="ru-RU"/>
        </w:rPr>
        <w:t xml:space="preserve">                      </w:t>
      </w:r>
      <w:r w:rsidRPr="00D45F59">
        <w:rPr>
          <w:rFonts w:ascii="Times New Roman" w:eastAsia="Times New Roman" w:hAnsi="Times New Roman" w:cs="Times New Roman"/>
          <w:bCs/>
          <w:i/>
          <w:sz w:val="24"/>
          <w:szCs w:val="24"/>
          <w:lang w:val="en-US" w:eastAsia="ru-RU"/>
        </w:rPr>
        <w:t>Table 1</w:t>
      </w:r>
    </w:p>
    <w:p w:rsidR="00D45F59" w:rsidRPr="00D45F59" w:rsidRDefault="00D45F59" w:rsidP="00D45F59">
      <w:pPr>
        <w:shd w:val="clear" w:color="auto" w:fill="FFFFFF"/>
        <w:spacing w:before="240" w:line="360" w:lineRule="auto"/>
        <w:jc w:val="center"/>
        <w:rPr>
          <w:rFonts w:ascii="Times New Roman" w:eastAsia="Times New Roman" w:hAnsi="Times New Roman" w:cs="Times New Roman"/>
          <w:b/>
          <w:bCs/>
          <w:sz w:val="24"/>
          <w:szCs w:val="24"/>
          <w:lang w:val="en-US" w:eastAsia="ru-RU"/>
        </w:rPr>
      </w:pPr>
    </w:p>
    <w:p w:rsidR="00D45F59" w:rsidRPr="00D45F59" w:rsidRDefault="00D45F59" w:rsidP="00D45F59">
      <w:pPr>
        <w:shd w:val="clear" w:color="auto" w:fill="FFFFFF"/>
        <w:spacing w:before="240" w:line="360" w:lineRule="auto"/>
        <w:jc w:val="center"/>
        <w:rPr>
          <w:rFonts w:ascii="Times New Roman" w:eastAsia="Times New Roman" w:hAnsi="Times New Roman" w:cs="Times New Roman"/>
          <w:b/>
          <w:bCs/>
          <w:sz w:val="24"/>
          <w:szCs w:val="24"/>
          <w:lang w:val="en-US" w:eastAsia="ru-RU"/>
        </w:rPr>
      </w:pPr>
    </w:p>
    <w:p w:rsidR="00D45F59" w:rsidRPr="00D45F59" w:rsidRDefault="00D45F59" w:rsidP="00D45F59">
      <w:pPr>
        <w:pStyle w:val="a4"/>
        <w:shd w:val="clear" w:color="auto" w:fill="FFFFFF"/>
        <w:spacing w:after="100" w:afterAutospacing="1" w:line="240" w:lineRule="auto"/>
        <w:ind w:left="567"/>
        <w:rPr>
          <w:rFonts w:ascii="Times New Roman" w:eastAsia="Times New Roman" w:hAnsi="Times New Roman"/>
          <w:i/>
          <w:sz w:val="20"/>
          <w:szCs w:val="18"/>
          <w:lang w:val="en-US" w:eastAsia="ru-RU"/>
        </w:rPr>
      </w:pPr>
    </w:p>
    <w:p w:rsidR="00D45F59" w:rsidRPr="00D45F59" w:rsidRDefault="00D45F59" w:rsidP="00D45F59">
      <w:pPr>
        <w:pStyle w:val="a4"/>
        <w:numPr>
          <w:ilvl w:val="0"/>
          <w:numId w:val="2"/>
        </w:numPr>
        <w:shd w:val="clear" w:color="auto" w:fill="FFFFFF"/>
        <w:spacing w:after="100" w:afterAutospacing="1" w:line="240" w:lineRule="auto"/>
        <w:ind w:left="567" w:hanging="141"/>
        <w:rPr>
          <w:rFonts w:ascii="Times New Roman" w:eastAsia="Times New Roman" w:hAnsi="Times New Roman"/>
          <w:i/>
          <w:sz w:val="20"/>
          <w:szCs w:val="18"/>
          <w:lang w:val="en-US" w:eastAsia="ru-RU"/>
        </w:rPr>
      </w:pPr>
      <w:r w:rsidRPr="00D45F59">
        <w:rPr>
          <w:rFonts w:ascii="Times New Roman" w:eastAsia="Times New Roman" w:hAnsi="Times New Roman"/>
          <w:i/>
          <w:sz w:val="20"/>
          <w:szCs w:val="18"/>
          <w:lang w:val="en-US" w:eastAsia="ru-RU"/>
        </w:rPr>
        <w:t>Compulsory education lasts 12 years from age 7 to age 18</w:t>
      </w:r>
    </w:p>
    <w:p w:rsidR="00D45F59" w:rsidRPr="00D45F59" w:rsidRDefault="00D45F59" w:rsidP="00D45F59">
      <w:pPr>
        <w:pStyle w:val="a4"/>
        <w:numPr>
          <w:ilvl w:val="0"/>
          <w:numId w:val="2"/>
        </w:numPr>
        <w:shd w:val="clear" w:color="auto" w:fill="FFFFFF"/>
        <w:spacing w:before="100" w:beforeAutospacing="1" w:after="100" w:afterAutospacing="1" w:line="240" w:lineRule="auto"/>
        <w:ind w:left="567" w:hanging="141"/>
        <w:rPr>
          <w:rFonts w:ascii="Times New Roman" w:eastAsia="Times New Roman" w:hAnsi="Times New Roman"/>
          <w:i/>
          <w:sz w:val="20"/>
          <w:szCs w:val="18"/>
          <w:lang w:val="en-US" w:eastAsia="ru-RU"/>
        </w:rPr>
      </w:pPr>
      <w:r w:rsidRPr="00D45F59">
        <w:rPr>
          <w:rFonts w:ascii="Times New Roman" w:eastAsia="Times New Roman" w:hAnsi="Times New Roman"/>
          <w:i/>
          <w:sz w:val="20"/>
          <w:szCs w:val="18"/>
          <w:lang w:val="en-US" w:eastAsia="ru-RU"/>
        </w:rPr>
        <w:t>For primary to post-secondary education, the academic year begins in September and ends in May</w:t>
      </w:r>
    </w:p>
    <w:p w:rsidR="00D45F59" w:rsidRDefault="00D45F59" w:rsidP="00FA7906">
      <w:pPr>
        <w:pStyle w:val="Default"/>
        <w:spacing w:line="360" w:lineRule="auto"/>
        <w:ind w:firstLine="426"/>
        <w:jc w:val="both"/>
        <w:rPr>
          <w:rFonts w:ascii="Times New Roman" w:hAnsi="Times New Roman" w:cs="Times New Roman"/>
          <w:color w:val="auto"/>
          <w:szCs w:val="18"/>
          <w:lang w:val="en-US"/>
        </w:rPr>
      </w:pPr>
      <w:r w:rsidRPr="00D45F59">
        <w:rPr>
          <w:rFonts w:ascii="Times New Roman" w:hAnsi="Times New Roman" w:cs="Times New Roman"/>
          <w:color w:val="auto"/>
          <w:szCs w:val="18"/>
          <w:lang w:val="en-US"/>
        </w:rPr>
        <w:t xml:space="preserve">The structure of the school system is primary in Uzbekistan. The type of school providing this education is a primary school (Grades 1-4). The length of the program is 4 years starting from age of 6 to 10 years holders. </w:t>
      </w:r>
    </w:p>
    <w:p w:rsidR="00FA7906" w:rsidRPr="00D45F59" w:rsidRDefault="00FA7906" w:rsidP="00FA7906">
      <w:pPr>
        <w:pStyle w:val="Default"/>
        <w:spacing w:line="360" w:lineRule="auto"/>
        <w:jc w:val="both"/>
        <w:rPr>
          <w:rFonts w:ascii="Times New Roman" w:hAnsi="Times New Roman" w:cs="Times New Roman"/>
          <w:color w:val="auto"/>
          <w:szCs w:val="18"/>
          <w:lang w:val="en-US"/>
        </w:rPr>
      </w:pPr>
      <w:r>
        <w:rPr>
          <w:rFonts w:ascii="Times New Roman" w:hAnsi="Times New Roman" w:cs="Times New Roman"/>
          <w:color w:val="auto"/>
          <w:szCs w:val="18"/>
          <w:lang w:val="en-US"/>
        </w:rPr>
        <w:tab/>
      </w:r>
      <w:r w:rsidRPr="00D45F59">
        <w:rPr>
          <w:rFonts w:ascii="Times New Roman" w:hAnsi="Times New Roman" w:cs="Times New Roman"/>
          <w:szCs w:val="18"/>
          <w:lang w:val="en-US"/>
        </w:rPr>
        <w:t xml:space="preserve">In 2017, education reforms in Uzbekistan changed from a 12-year program to 11 years after a previous reform disappointed and troubled parents and children. Eleven years of primary and secondary education are obligatory, starting at age seven. The rate of attendance in those grades is high, although the figure is significantly lower in rural areas than in urban centers. Preschool registration has decreased significantly since 1991 </w:t>
      </w:r>
      <w:r w:rsidRPr="00D45F59">
        <w:rPr>
          <w:rFonts w:ascii="Times New Roman" w:hAnsi="Times New Roman" w:cs="Times New Roman"/>
          <w:szCs w:val="18"/>
        </w:rPr>
        <w:fldChar w:fldCharType="begin" w:fldLock="1"/>
      </w:r>
      <w:r>
        <w:rPr>
          <w:rFonts w:ascii="Times New Roman" w:hAnsi="Times New Roman" w:cs="Times New Roman"/>
          <w:szCs w:val="18"/>
          <w:lang w:val="en-US"/>
        </w:rPr>
        <w:instrText>ADDIN CSL_CITATION {"citationItems":[{"id":"ITEM-1","itemData":{"DOI":"10.13140/RG.2.2.25852.28806","ISBN":"1962020819","abstract":"This study focused on the comparison on similarities and differences of teaching and learning process in primary schools in Indonesia and in Uzbekistan. Two different developing countries run their own educational policies in primary education. The main purpose of the study was to identify and generally compare similarities and differences between two countries’ Primary Education, analyze and reach a deeper understanding of their teaching and learning processes. Since this study was intended to examine the process of teaching and learning in primary schools of two developing countries of Asia named Indonesia and Uzbekistan, it was hoped that this study would be useful in improving the education policy, making process in both countries studied, and point out better ways of modifying imported educational planning techniques to make them suitable to the realities in Indonesia and as well as in Uzbekistan. Secondly, this study of the applicability of contemporary education planning and policy formulation models to the both countries arena was the first step toward carrying out the much-needed reforms in curriculum. This study utilized a qualitative method approach with four phases of data collection, in which the Researcher collected qualitative data through school observation, interview, questionnaire, and analysis study. Two primary schools in Indonesia and another two primary schools in Uzbekistan were observed for richer data. The results of the study showed that there is significant difference between the Primary Education System of Indonesia and Uzbekistan. Republic of Indonesia runs a 6-3-3 formal education structure, meanwhile, Uzbekistan runs 4-5-3 formal education structure. Another difference in basic education level between two countries is that Education System if decentralized in Indonesia, simultaneously, it remains centralized in Uzbekistan. Nowadays, according to school observation, in Indonesia, student-centered instruction is widely implemented. In elementary schools of Uzbekistan start from 2012, teacher-centered system changed into students-centered system. The teaching methods in urban schools remains same in both countries, by using modern teaching devices each countries is reaching quite high expectations. In outlying areas, it remains as a crucial issue in either Indonesia or Uzbekistan. There are some reformations being taken and new policies have been introduced in both countries to improve quality of education, teacher effectiven…","author":[{"dropping-particle":"","family":"Shaturaev","given":"Jakhongir","non-dropping-particle":"","parse-names":false,"suffix":""}],"edition":"1","id":"ITEM-1","issued":{"date-parts":[["2014"]]},"number-of-pages":"241","publisher":"Repository Universitas Pendidikan Indonesia","publisher-place":"Bandung, Indonesia","title":"Comparative study on similarities and differences of teaching and learning process in primary schools in Indonesia and Uzbekistan","type":"thesis"},"uris":["http://www.mendeley.com/documents/?uuid=3a9a0214-f135-4ef6-a8fc-fc646d9a81bf"]}],"mendeley":{"formattedCitation":"(J. Shaturaev, 2014)","plainTextFormattedCitation":"(J. Shaturaev, 2014)","previouslyFormattedCitation":"(J. Shaturaev, 2014)"},"properties":{"noteIndex":0},"schema":"https://github.com/citation-style-language/schema/raw/master/csl-citation.json"}</w:instrText>
      </w:r>
      <w:r w:rsidRPr="00D45F59">
        <w:rPr>
          <w:rFonts w:ascii="Times New Roman" w:hAnsi="Times New Roman" w:cs="Times New Roman"/>
          <w:szCs w:val="18"/>
        </w:rPr>
        <w:fldChar w:fldCharType="separate"/>
      </w:r>
      <w:r w:rsidRPr="0054222F">
        <w:rPr>
          <w:rFonts w:ascii="Times New Roman" w:hAnsi="Times New Roman" w:cs="Times New Roman"/>
          <w:noProof/>
          <w:szCs w:val="18"/>
          <w:lang w:val="en-US"/>
        </w:rPr>
        <w:t>(J. Shaturaev, 2014)</w:t>
      </w:r>
      <w:r w:rsidRPr="00D45F59">
        <w:rPr>
          <w:rFonts w:ascii="Times New Roman" w:hAnsi="Times New Roman" w:cs="Times New Roman"/>
          <w:szCs w:val="18"/>
        </w:rPr>
        <w:fldChar w:fldCharType="end"/>
      </w:r>
      <w:r w:rsidRPr="00D45F59">
        <w:rPr>
          <w:rFonts w:ascii="Times New Roman" w:hAnsi="Times New Roman" w:cs="Times New Roman"/>
          <w:szCs w:val="18"/>
          <w:lang w:val="en-US"/>
        </w:rPr>
        <w:t xml:space="preserve">. The official literacy rate is 99 percent </w:t>
      </w:r>
      <w:r w:rsidRPr="00D45F59">
        <w:rPr>
          <w:rFonts w:ascii="Times New Roman" w:hAnsi="Times New Roman" w:cs="Times New Roman"/>
          <w:szCs w:val="18"/>
        </w:rPr>
        <w:fldChar w:fldCharType="begin" w:fldLock="1"/>
      </w:r>
      <w:r>
        <w:rPr>
          <w:rFonts w:ascii="Times New Roman" w:hAnsi="Times New Roman" w:cs="Times New Roman"/>
          <w:szCs w:val="18"/>
          <w:lang w:val="en-US"/>
        </w:rPr>
        <w:instrText>ADDIN CSL_CITATION {"citationItems":[{"id":"ITEM-1","itemData":{"DOI":"10.21474/ijar01/11667","ISSN":"23205407","abstract":"Handwriting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given":"Jakhongir","non-dropping-particle":"","parse-names":false,"suffix":""},{"dropping-particle":"","family":"Iroda","given":"Jalolova","non-dropping-particle":"","parse-names":false,"suffix":""},{"dropping-particle":"","family":"Gulnoza","given":"Istamova","non-dropping-particle":"","parse-names":false,"suffix":""},{"dropping-particle":"","family":"Madina","given":"Rakhimova","non-dropping-particle":"","parse-names":false,"suffix":""}],"container-title":"International Journal of Advanced Research","id":"ITEM-1","issued":{"date-parts":[["2020"]]},"title":"EXPLORATION EFFECTS OF HANDWRITING ON CHILDREN’S WRITING PROGRESS","type":"article-journal"},"uris":["http://www.mendeley.com/documents/?uuid=4dc812a6-6cd2-4be5-afa0-b9d015fbbbcf"]}],"mendeley":{"formattedCitation":"(J. Shaturaev et al., 2020)","plainTextFormattedCitation":"(J. Shaturaev et al., 2020)","previouslyFormattedCitation":"(J. Shaturaev et al., 2020)"},"properties":{"noteIndex":0},"schema":"https://github.com/citation-style-language/schema/raw/master/csl-citation.json"}</w:instrText>
      </w:r>
      <w:r w:rsidRPr="00D45F59">
        <w:rPr>
          <w:rFonts w:ascii="Times New Roman" w:hAnsi="Times New Roman" w:cs="Times New Roman"/>
          <w:szCs w:val="18"/>
        </w:rPr>
        <w:fldChar w:fldCharType="separate"/>
      </w:r>
      <w:r w:rsidRPr="0054222F">
        <w:rPr>
          <w:rFonts w:ascii="Times New Roman" w:hAnsi="Times New Roman" w:cs="Times New Roman"/>
          <w:noProof/>
          <w:szCs w:val="18"/>
          <w:lang w:val="en-US"/>
        </w:rPr>
        <w:t>(J. Shaturaev et al., 2020)</w:t>
      </w:r>
      <w:r w:rsidRPr="00D45F59">
        <w:rPr>
          <w:rFonts w:ascii="Times New Roman" w:hAnsi="Times New Roman" w:cs="Times New Roman"/>
          <w:szCs w:val="18"/>
        </w:rPr>
        <w:fldChar w:fldCharType="end"/>
      </w:r>
      <w:r w:rsidRPr="00D45F59">
        <w:rPr>
          <w:rFonts w:ascii="Times New Roman" w:hAnsi="Times New Roman" w:cs="Times New Roman"/>
          <w:szCs w:val="18"/>
          <w:lang w:val="en-US"/>
        </w:rPr>
        <w:t xml:space="preserve">. However, in the post-Soviet era educational standards </w:t>
      </w:r>
      <w:r w:rsidRPr="00D45F59">
        <w:rPr>
          <w:rFonts w:ascii="Times New Roman" w:hAnsi="Times New Roman" w:cs="Times New Roman"/>
          <w:szCs w:val="18"/>
          <w:lang w:val="en-US"/>
        </w:rPr>
        <w:lastRenderedPageBreak/>
        <w:t xml:space="preserve">have fallen. Funding and training have not been sufficient to effectively educate the expanding younger cohorts of the population. Between 1992 and 2004, government spending on education dropped from 12 percent to 6.3 percent of gross domestic product </w:t>
      </w:r>
      <w:r w:rsidRPr="00D45F59">
        <w:rPr>
          <w:rFonts w:ascii="Times New Roman" w:hAnsi="Times New Roman" w:cs="Times New Roman"/>
          <w:szCs w:val="18"/>
        </w:rPr>
        <w:fldChar w:fldCharType="begin" w:fldLock="1"/>
      </w:r>
      <w:r>
        <w:rPr>
          <w:rFonts w:ascii="Times New Roman" w:hAnsi="Times New Roman" w:cs="Times New Roman"/>
          <w:szCs w:val="18"/>
          <w:lang w:val="en-US"/>
        </w:rPr>
        <w:instrText>ADDIN CSL_CITATION {"citationItems":[{"id":"ITEM-1","itemData":{"DOI":"10.21474/ijar01/11667","ISSN":"23205407","abstract":"Handwriting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given":"Jakhongir","non-dropping-particle":"","parse-names":false,"suffix":""},{"dropping-particle":"","family":"Iroda","given":"Jalolova","non-dropping-particle":"","parse-names":false,"suffix":""},{"dropping-particle":"","family":"Gulnoza","given":"Istamova","non-dropping-particle":"","parse-names":false,"suffix":""},{"dropping-particle":"","family":"Madina","given":"Rakhimova","non-dropping-particle":"","parse-names":false,"suffix":""}],"container-title":"International Journal of Advanced Research","id":"ITEM-1","issued":{"date-parts":[["2020"]]},"title":"EXPLORATION EFFECTS OF HANDWRITING ON CHILDREN’S WRITING PROGRESS","type":"article-journal"},"uris":["http://www.mendeley.com/documents/?uuid=4dc812a6-6cd2-4be5-afa0-b9d015fbbbcf"]}],"mendeley":{"formattedCitation":"(J. Shaturaev et al., 2020)","plainTextFormattedCitation":"(J. Shaturaev et al., 2020)","previouslyFormattedCitation":"(J. Shaturaev et al., 2020)"},"properties":{"noteIndex":0},"schema":"https://github.com/citation-style-language/schema/raw/master/csl-citation.json"}</w:instrText>
      </w:r>
      <w:r w:rsidRPr="00D45F59">
        <w:rPr>
          <w:rFonts w:ascii="Times New Roman" w:hAnsi="Times New Roman" w:cs="Times New Roman"/>
          <w:szCs w:val="18"/>
        </w:rPr>
        <w:fldChar w:fldCharType="separate"/>
      </w:r>
      <w:r w:rsidRPr="0054222F">
        <w:rPr>
          <w:rFonts w:ascii="Times New Roman" w:hAnsi="Times New Roman" w:cs="Times New Roman"/>
          <w:noProof/>
          <w:szCs w:val="18"/>
          <w:lang w:val="en-US"/>
        </w:rPr>
        <w:t>(J. Shaturaev et al., 2020)</w:t>
      </w:r>
      <w:r w:rsidRPr="00D45F59">
        <w:rPr>
          <w:rFonts w:ascii="Times New Roman" w:hAnsi="Times New Roman" w:cs="Times New Roman"/>
          <w:szCs w:val="18"/>
        </w:rPr>
        <w:fldChar w:fldCharType="end"/>
      </w:r>
      <w:r w:rsidRPr="00D45F59">
        <w:rPr>
          <w:rFonts w:ascii="Times New Roman" w:hAnsi="Times New Roman" w:cs="Times New Roman"/>
          <w:szCs w:val="18"/>
          <w:lang w:val="en-US"/>
        </w:rPr>
        <w:t>. In 2006 education’s share of the budget increased to 8.1percent</w:t>
      </w:r>
      <w:r>
        <w:rPr>
          <w:rFonts w:ascii="Times New Roman" w:hAnsi="Times New Roman" w:cs="Times New Roman"/>
          <w:szCs w:val="18"/>
          <w:lang w:val="en-US"/>
        </w:rPr>
        <w:t xml:space="preserve"> </w:t>
      </w:r>
      <w:r>
        <w:rPr>
          <w:rFonts w:ascii="Times New Roman" w:hAnsi="Times New Roman" w:cs="Times New Roman"/>
          <w:szCs w:val="18"/>
          <w:lang w:val="en-US"/>
        </w:rPr>
        <w:fldChar w:fldCharType="begin" w:fldLock="1"/>
      </w:r>
      <w:r>
        <w:rPr>
          <w:rFonts w:ascii="Times New Roman" w:hAnsi="Times New Roman" w:cs="Times New Roman"/>
          <w:szCs w:val="18"/>
          <w:lang w:val="en-US"/>
        </w:rPr>
        <w:instrText>ADDIN CSL_CITATION {"citationItems":[{"id":"ITEM-1","itemData":{"DOI":"10.21474/ijar01/10237","abstract":"Handwriting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 Jakhongir","given":"","non-dropping-particle":"","parse-names":false,"suffix":""}],"container-title":"International Journal of Advanced Research","id":"ITEM-1","issue":"12","issued":{"date-parts":[["2019"]]},"page":"947-954","title":"The Importance of Handwriting in Education","type":"article-journal","volume":"7"},"uris":["http://www.mendeley.com/documents/?uuid=200d1ae4-e92a-4ef9-b76d-4cd63c7f7cde"]}],"mendeley":{"formattedCitation":"(Shaturaev Jakhongir, 2019)","plainTextFormattedCitation":"(Shaturaev Jakhongir, 2019)","previouslyFormattedCitation":"(Shaturaev Jakhongir, 2019)"},"properties":{"noteIndex":0},"schema":"https://github.com/citation-style-language/schema/raw/master/csl-citation.json"}</w:instrText>
      </w:r>
      <w:r>
        <w:rPr>
          <w:rFonts w:ascii="Times New Roman" w:hAnsi="Times New Roman" w:cs="Times New Roman"/>
          <w:szCs w:val="18"/>
          <w:lang w:val="en-US"/>
        </w:rPr>
        <w:fldChar w:fldCharType="separate"/>
      </w:r>
      <w:r w:rsidRPr="0054222F">
        <w:rPr>
          <w:rFonts w:ascii="Times New Roman" w:hAnsi="Times New Roman" w:cs="Times New Roman"/>
          <w:noProof/>
          <w:szCs w:val="18"/>
          <w:lang w:val="en-US"/>
        </w:rPr>
        <w:t>(Shaturaev Jakhongir, 2019)</w:t>
      </w:r>
      <w:r>
        <w:rPr>
          <w:rFonts w:ascii="Times New Roman" w:hAnsi="Times New Roman" w:cs="Times New Roman"/>
          <w:szCs w:val="18"/>
          <w:lang w:val="en-US"/>
        </w:rPr>
        <w:fldChar w:fldCharType="end"/>
      </w:r>
      <w:r w:rsidRPr="00D45F59">
        <w:rPr>
          <w:rFonts w:ascii="Times New Roman" w:hAnsi="Times New Roman" w:cs="Times New Roman"/>
          <w:szCs w:val="18"/>
          <w:lang w:val="en-US"/>
        </w:rPr>
        <w:t xml:space="preserve">. Lack of budgetary support has been more noticeable at the primary and secondary levels, as the government has continued to subsidize university students. Between 1992 and 2001, university attendance dropped from 19 percent of the college-age population to 6.4 percent. The three largest of Uzbekistan's 63 institutions of higher learning are in </w:t>
      </w:r>
      <w:proofErr w:type="spellStart"/>
      <w:r w:rsidRPr="00D45F59">
        <w:rPr>
          <w:rFonts w:ascii="Times New Roman" w:hAnsi="Times New Roman" w:cs="Times New Roman"/>
          <w:szCs w:val="18"/>
          <w:lang w:val="en-US"/>
        </w:rPr>
        <w:t>Nukus</w:t>
      </w:r>
      <w:proofErr w:type="spellEnd"/>
      <w:r w:rsidRPr="00D45F59">
        <w:rPr>
          <w:rFonts w:ascii="Times New Roman" w:hAnsi="Times New Roman" w:cs="Times New Roman"/>
          <w:szCs w:val="18"/>
          <w:lang w:val="en-US"/>
        </w:rPr>
        <w:t>, Samarkand, and Tashkent, with all three being state-funded</w:t>
      </w:r>
      <w:r>
        <w:rPr>
          <w:rFonts w:ascii="Times New Roman" w:hAnsi="Times New Roman" w:cs="Times New Roman"/>
          <w:szCs w:val="18"/>
          <w:lang w:val="en-US"/>
        </w:rPr>
        <w:t xml:space="preserve"> </w:t>
      </w:r>
      <w:r>
        <w:rPr>
          <w:rFonts w:ascii="Times New Roman" w:hAnsi="Times New Roman" w:cs="Times New Roman"/>
          <w:szCs w:val="18"/>
          <w:lang w:val="en-US"/>
        </w:rPr>
        <w:fldChar w:fldCharType="begin" w:fldLock="1"/>
      </w:r>
      <w:r>
        <w:rPr>
          <w:rFonts w:ascii="Times New Roman" w:hAnsi="Times New Roman" w:cs="Times New Roman"/>
          <w:szCs w:val="18"/>
          <w:lang w:val="en-US"/>
        </w:rPr>
        <w:instrText>ADDIN CSL_CITATION {"citationItems":[{"id":"ITEM-1","itemData":{"DOI":"10.21474/ijar01/10008","abstract":"The purpose of this special issue is to examine small businesses, innovation and entrepreneurship and show that although these three concepts have their own specific literature and can be dealt with independently, they are closely related. From Schumpeter to the present, a stream of literature unites the concept of entrepreneurship with its ability to make new combinations of factors and corresponding innovations in processes and products; similarly, in a broad stream of literature the most characteristic dimension of entrepreneurship is closely linked to small businesses. Small and large companies have different advantages and drawbacks with innovation, but small businesses provide the most conducive environment for entrepreneurship and innovation that are not necessarily sustained by the know-how and resources characteristic of large scale production but require commitment and close cooperation between company members. In this introduction we show how the three topics converge in four articles dealing with micro start-ups and innovation, institutional determinants of entrepreneurship and determining factors in entrepreneurs’ individual characteristics.","author":[{"dropping-particle":"","family":"Shaturaev","given":"J.N.","non-dropping-particle":"","parse-names":false,"suffix":""},{"dropping-particle":"","family":"Jumaev","given":"H.Sh.","non-dropping-particle":"","parse-names":false,"suffix":""}],"container-title":"International Journal of Advanced Research","id":"ITEM-1","issued":{"date-parts":[["2019"]]},"title":"SMALL BUSINESS, INNOVATION AND ENTREPRENEURSHIP","type":"article-journal"},"uris":["http://www.mendeley.com/documents/?uuid=a94b415f-c689-495b-8f72-ea75d3029613"]}],"mendeley":{"formattedCitation":"(J. N. Shaturaev &amp; Jumaev, 2019)","plainTextFormattedCitation":"(J. N. Shaturaev &amp; Jumaev, 2019)","previouslyFormattedCitation":"(J. N. Shaturaev &amp; Jumaev, 2019)"},"properties":{"noteIndex":0},"schema":"https://github.com/citation-style-language/schema/raw/master/csl-citation.json"}</w:instrText>
      </w:r>
      <w:r>
        <w:rPr>
          <w:rFonts w:ascii="Times New Roman" w:hAnsi="Times New Roman" w:cs="Times New Roman"/>
          <w:szCs w:val="18"/>
          <w:lang w:val="en-US"/>
        </w:rPr>
        <w:fldChar w:fldCharType="separate"/>
      </w:r>
      <w:r w:rsidRPr="0054222F">
        <w:rPr>
          <w:rFonts w:ascii="Times New Roman" w:hAnsi="Times New Roman" w:cs="Times New Roman"/>
          <w:noProof/>
          <w:szCs w:val="18"/>
          <w:lang w:val="en-US"/>
        </w:rPr>
        <w:t>(J. N. Shaturaev &amp; Jumaev, 2019)</w:t>
      </w:r>
      <w:r>
        <w:rPr>
          <w:rFonts w:ascii="Times New Roman" w:hAnsi="Times New Roman" w:cs="Times New Roman"/>
          <w:szCs w:val="18"/>
          <w:lang w:val="en-US"/>
        </w:rPr>
        <w:fldChar w:fldCharType="end"/>
      </w:r>
      <w:r w:rsidRPr="00D45F59">
        <w:rPr>
          <w:rFonts w:ascii="Times New Roman" w:hAnsi="Times New Roman" w:cs="Times New Roman"/>
          <w:szCs w:val="18"/>
          <w:lang w:val="en-US"/>
        </w:rPr>
        <w:t>.</w:t>
      </w:r>
    </w:p>
    <w:p w:rsidR="00FA7906" w:rsidRDefault="00FA7906" w:rsidP="00D45F59">
      <w:pPr>
        <w:spacing w:after="0" w:line="240" w:lineRule="auto"/>
        <w:ind w:left="1416" w:firstLine="708"/>
        <w:jc w:val="center"/>
        <w:rPr>
          <w:rFonts w:ascii="Times New Roman" w:hAnsi="Times New Roman" w:cs="Times New Roman"/>
          <w:b/>
          <w:bCs/>
          <w:sz w:val="24"/>
          <w:szCs w:val="18"/>
          <w:shd w:val="clear" w:color="auto" w:fill="FFFFFF"/>
          <w:lang w:val="en-US"/>
        </w:rPr>
      </w:pPr>
    </w:p>
    <w:p w:rsidR="00D45F59" w:rsidRPr="00D45F59" w:rsidRDefault="00D45F59" w:rsidP="00D45F59">
      <w:pPr>
        <w:spacing w:after="0" w:line="240" w:lineRule="auto"/>
        <w:ind w:left="1416" w:firstLine="708"/>
        <w:jc w:val="center"/>
        <w:rPr>
          <w:rFonts w:ascii="Times New Roman" w:hAnsi="Times New Roman" w:cs="Times New Roman"/>
          <w:b/>
          <w:bCs/>
          <w:sz w:val="24"/>
          <w:szCs w:val="18"/>
          <w:shd w:val="clear" w:color="auto" w:fill="FFFFFF"/>
          <w:lang w:val="en-US"/>
        </w:rPr>
      </w:pPr>
      <w:r w:rsidRPr="00D45F59">
        <w:rPr>
          <w:rFonts w:ascii="Times New Roman" w:hAnsi="Times New Roman" w:cs="Times New Roman"/>
          <w:b/>
          <w:bCs/>
          <w:sz w:val="24"/>
          <w:szCs w:val="18"/>
          <w:shd w:val="clear" w:color="auto" w:fill="FFFFFF"/>
          <w:lang w:val="en-US"/>
        </w:rPr>
        <w:t>Official school ages by the level of education</w:t>
      </w:r>
      <w:r>
        <w:rPr>
          <w:rFonts w:ascii="Times New Roman" w:hAnsi="Times New Roman" w:cs="Times New Roman"/>
          <w:b/>
          <w:bCs/>
          <w:sz w:val="24"/>
          <w:szCs w:val="18"/>
          <w:shd w:val="clear" w:color="auto" w:fill="FFFFFF"/>
          <w:lang w:val="en-US"/>
        </w:rPr>
        <w:t xml:space="preserve">   </w:t>
      </w:r>
      <w:r>
        <w:rPr>
          <w:rFonts w:ascii="Times New Roman" w:hAnsi="Times New Roman" w:cs="Times New Roman"/>
          <w:b/>
          <w:bCs/>
          <w:sz w:val="24"/>
          <w:szCs w:val="18"/>
          <w:shd w:val="clear" w:color="auto" w:fill="FFFFFF"/>
          <w:lang w:val="en-US"/>
        </w:rPr>
        <w:tab/>
      </w:r>
      <w:r>
        <w:rPr>
          <w:rFonts w:ascii="Times New Roman" w:hAnsi="Times New Roman" w:cs="Times New Roman"/>
          <w:b/>
          <w:bCs/>
          <w:sz w:val="24"/>
          <w:szCs w:val="18"/>
          <w:shd w:val="clear" w:color="auto" w:fill="FFFFFF"/>
          <w:lang w:val="en-US"/>
        </w:rPr>
        <w:tab/>
      </w:r>
      <w:r w:rsidRPr="00D45F59">
        <w:rPr>
          <w:rFonts w:ascii="Times New Roman" w:hAnsi="Times New Roman" w:cs="Times New Roman"/>
          <w:bCs/>
          <w:i/>
          <w:sz w:val="24"/>
          <w:szCs w:val="18"/>
          <w:shd w:val="clear" w:color="auto" w:fill="FFFFFF"/>
          <w:lang w:val="en-US"/>
        </w:rPr>
        <w:t>Table 2</w:t>
      </w:r>
    </w:p>
    <w:p w:rsidR="00D45F59" w:rsidRPr="00D45F59" w:rsidRDefault="00D45F59" w:rsidP="00D45F59">
      <w:pPr>
        <w:spacing w:after="0" w:line="240" w:lineRule="auto"/>
        <w:jc w:val="center"/>
        <w:rPr>
          <w:rFonts w:ascii="Times New Roman" w:hAnsi="Times New Roman" w:cs="Times New Roman"/>
          <w:b/>
          <w:bCs/>
          <w:sz w:val="24"/>
          <w:szCs w:val="18"/>
          <w:shd w:val="clear" w:color="auto" w:fill="FFFFFF"/>
          <w:lang w:val="en-US"/>
        </w:rPr>
      </w:pPr>
      <w:r w:rsidRPr="00D45F59">
        <w:rPr>
          <w:rFonts w:ascii="Times New Roman" w:hAnsi="Times New Roman" w:cs="Times New Roman"/>
          <w:b/>
          <w:bCs/>
          <w:noProof/>
          <w:sz w:val="24"/>
          <w:szCs w:val="18"/>
          <w:lang w:eastAsia="ru-RU"/>
        </w:rPr>
        <w:drawing>
          <wp:anchor distT="0" distB="0" distL="114300" distR="114300" simplePos="0" relativeHeight="251658240" behindDoc="1" locked="0" layoutInCell="1" allowOverlap="1">
            <wp:simplePos x="0" y="0"/>
            <wp:positionH relativeFrom="column">
              <wp:posOffset>1587488</wp:posOffset>
            </wp:positionH>
            <wp:positionV relativeFrom="paragraph">
              <wp:posOffset>137651</wp:posOffset>
            </wp:positionV>
            <wp:extent cx="2811780" cy="1092200"/>
            <wp:effectExtent l="0" t="0" r="7620" b="0"/>
            <wp:wrapTight wrapText="bothSides">
              <wp:wrapPolygon edited="0">
                <wp:start x="0" y="0"/>
                <wp:lineTo x="0" y="21098"/>
                <wp:lineTo x="21512" y="21098"/>
                <wp:lineTo x="2151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78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F59" w:rsidRPr="00D45F59" w:rsidRDefault="00D45F59" w:rsidP="00D45F59">
      <w:pPr>
        <w:shd w:val="clear" w:color="auto" w:fill="FFFFFF"/>
        <w:spacing w:before="100" w:beforeAutospacing="1" w:after="100" w:afterAutospacing="1" w:line="240" w:lineRule="auto"/>
        <w:rPr>
          <w:rFonts w:ascii="Times New Roman" w:eastAsia="Times New Roman" w:hAnsi="Times New Roman" w:cs="Times New Roman"/>
          <w:sz w:val="20"/>
          <w:szCs w:val="18"/>
          <w:lang w:val="en-US" w:eastAsia="ru-RU"/>
        </w:rPr>
      </w:pPr>
    </w:p>
    <w:p w:rsidR="00D45F59" w:rsidRPr="00D45F59" w:rsidRDefault="00D45F59" w:rsidP="00D45F59">
      <w:pPr>
        <w:shd w:val="clear" w:color="auto" w:fill="FFFFFF"/>
        <w:spacing w:before="100" w:beforeAutospacing="1" w:after="100" w:afterAutospacing="1" w:line="240" w:lineRule="auto"/>
        <w:rPr>
          <w:rFonts w:ascii="Times New Roman" w:eastAsia="Times New Roman" w:hAnsi="Times New Roman" w:cs="Times New Roman"/>
          <w:sz w:val="20"/>
          <w:szCs w:val="18"/>
          <w:lang w:val="en-US" w:eastAsia="ru-RU"/>
        </w:rPr>
      </w:pPr>
    </w:p>
    <w:p w:rsidR="00D45F59" w:rsidRPr="00D45F59" w:rsidRDefault="00D45F59" w:rsidP="00D45F59">
      <w:pPr>
        <w:shd w:val="clear" w:color="auto" w:fill="FFFFFF"/>
        <w:spacing w:before="100" w:beforeAutospacing="1" w:after="100" w:afterAutospacing="1" w:line="240" w:lineRule="auto"/>
        <w:rPr>
          <w:rFonts w:ascii="Times New Roman" w:eastAsia="Times New Roman" w:hAnsi="Times New Roman" w:cs="Times New Roman"/>
          <w:sz w:val="20"/>
          <w:szCs w:val="18"/>
          <w:lang w:val="en-US" w:eastAsia="ru-RU"/>
        </w:rPr>
      </w:pPr>
    </w:p>
    <w:p w:rsidR="00D45F59" w:rsidRPr="00FA7906" w:rsidRDefault="00D45F59" w:rsidP="00D45F59">
      <w:pPr>
        <w:pStyle w:val="Default"/>
        <w:jc w:val="center"/>
        <w:rPr>
          <w:rFonts w:ascii="Times New Roman" w:hAnsi="Times New Roman" w:cs="Times New Roman"/>
          <w:color w:val="auto"/>
          <w:sz w:val="20"/>
          <w:szCs w:val="22"/>
          <w:lang w:val="en-US"/>
        </w:rPr>
      </w:pPr>
      <w:r w:rsidRPr="00FA7906">
        <w:rPr>
          <w:rFonts w:ascii="Times New Roman" w:hAnsi="Times New Roman" w:cs="Times New Roman"/>
          <w:color w:val="auto"/>
          <w:sz w:val="20"/>
          <w:szCs w:val="22"/>
          <w:lang w:val="en-US"/>
        </w:rPr>
        <w:t xml:space="preserve">Pre-primary   </w:t>
      </w:r>
      <w:r w:rsidR="00FA7906">
        <w:rPr>
          <w:rFonts w:ascii="Times New Roman" w:hAnsi="Times New Roman" w:cs="Times New Roman"/>
          <w:color w:val="auto"/>
          <w:sz w:val="20"/>
          <w:szCs w:val="22"/>
          <w:lang w:val="en-US"/>
        </w:rPr>
        <w:t xml:space="preserve">    </w:t>
      </w:r>
      <w:r w:rsidRPr="00FA7906">
        <w:rPr>
          <w:rFonts w:ascii="Times New Roman" w:hAnsi="Times New Roman" w:cs="Times New Roman"/>
          <w:color w:val="auto"/>
          <w:sz w:val="20"/>
          <w:szCs w:val="22"/>
          <w:lang w:val="en-US"/>
        </w:rPr>
        <w:t>Primary</w:t>
      </w:r>
      <w:r w:rsidRPr="00FA7906">
        <w:rPr>
          <w:rFonts w:ascii="Times New Roman" w:hAnsi="Times New Roman" w:cs="Times New Roman"/>
          <w:color w:val="auto"/>
          <w:sz w:val="20"/>
          <w:szCs w:val="22"/>
          <w:lang w:val="en-US"/>
        </w:rPr>
        <w:tab/>
        <w:t xml:space="preserve">        Secondary             Tertiary</w:t>
      </w:r>
    </w:p>
    <w:p w:rsidR="00D45F59" w:rsidRPr="00FA7906" w:rsidRDefault="00FA7906" w:rsidP="00FA7906">
      <w:pPr>
        <w:pStyle w:val="Default"/>
        <w:rPr>
          <w:rFonts w:ascii="Times New Roman" w:hAnsi="Times New Roman" w:cs="Times New Roman"/>
          <w:color w:val="auto"/>
          <w:sz w:val="20"/>
          <w:szCs w:val="22"/>
          <w:lang w:val="en-US"/>
        </w:rPr>
      </w:pPr>
      <w:r>
        <w:rPr>
          <w:rFonts w:ascii="Times New Roman" w:hAnsi="Times New Roman" w:cs="Times New Roman"/>
          <w:color w:val="auto"/>
          <w:sz w:val="20"/>
          <w:szCs w:val="22"/>
          <w:lang w:val="en-US"/>
        </w:rPr>
        <w:t xml:space="preserve">                                                     6-7</w:t>
      </w:r>
      <w:r>
        <w:rPr>
          <w:rFonts w:ascii="Times New Roman" w:hAnsi="Times New Roman" w:cs="Times New Roman"/>
          <w:color w:val="auto"/>
          <w:sz w:val="20"/>
          <w:szCs w:val="22"/>
          <w:lang w:val="en-US"/>
        </w:rPr>
        <w:tab/>
        <w:t xml:space="preserve">    </w:t>
      </w:r>
      <w:r w:rsidR="00D45F59" w:rsidRPr="00FA7906">
        <w:rPr>
          <w:rFonts w:ascii="Times New Roman" w:hAnsi="Times New Roman" w:cs="Times New Roman"/>
          <w:color w:val="auto"/>
          <w:sz w:val="20"/>
          <w:szCs w:val="22"/>
          <w:lang w:val="en-US"/>
        </w:rPr>
        <w:t>8-12</w:t>
      </w:r>
      <w:r w:rsidR="00D45F59" w:rsidRPr="00FA7906">
        <w:rPr>
          <w:rFonts w:ascii="Times New Roman" w:hAnsi="Times New Roman" w:cs="Times New Roman"/>
          <w:color w:val="auto"/>
          <w:sz w:val="20"/>
          <w:szCs w:val="22"/>
          <w:lang w:val="en-US"/>
        </w:rPr>
        <w:tab/>
        <w:t xml:space="preserve">       </w:t>
      </w:r>
      <w:r>
        <w:rPr>
          <w:rFonts w:ascii="Times New Roman" w:hAnsi="Times New Roman" w:cs="Times New Roman"/>
          <w:color w:val="auto"/>
          <w:sz w:val="20"/>
          <w:szCs w:val="22"/>
          <w:lang w:val="en-US"/>
        </w:rPr>
        <w:t xml:space="preserve">       </w:t>
      </w:r>
      <w:r w:rsidR="00D45F59" w:rsidRPr="00FA7906">
        <w:rPr>
          <w:rFonts w:ascii="Times New Roman" w:hAnsi="Times New Roman" w:cs="Times New Roman"/>
          <w:color w:val="auto"/>
          <w:sz w:val="20"/>
          <w:szCs w:val="22"/>
          <w:lang w:val="en-US"/>
        </w:rPr>
        <w:t>13-18                    19-23</w:t>
      </w:r>
    </w:p>
    <w:p w:rsidR="00D45F59" w:rsidRPr="00D45F59" w:rsidRDefault="00D45F59" w:rsidP="00D45F59">
      <w:pPr>
        <w:spacing w:after="0" w:line="240" w:lineRule="auto"/>
        <w:jc w:val="both"/>
        <w:rPr>
          <w:rFonts w:ascii="Times New Roman" w:hAnsi="Times New Roman" w:cs="Times New Roman"/>
          <w:sz w:val="18"/>
          <w:szCs w:val="18"/>
          <w:lang w:val="en-US"/>
        </w:rPr>
      </w:pPr>
    </w:p>
    <w:p w:rsidR="00D45F59" w:rsidRPr="00D45F59" w:rsidRDefault="00D45F59" w:rsidP="00FA7906">
      <w:pPr>
        <w:spacing w:after="0" w:line="360" w:lineRule="auto"/>
        <w:ind w:firstLine="708"/>
        <w:jc w:val="both"/>
        <w:rPr>
          <w:rFonts w:ascii="Times New Roman" w:hAnsi="Times New Roman" w:cs="Times New Roman"/>
          <w:sz w:val="24"/>
          <w:szCs w:val="18"/>
          <w:lang w:val="en-US"/>
        </w:rPr>
      </w:pPr>
      <w:r w:rsidRPr="00D45F59">
        <w:rPr>
          <w:rFonts w:ascii="Times New Roman" w:hAnsi="Times New Roman" w:cs="Times New Roman"/>
          <w:sz w:val="24"/>
          <w:szCs w:val="18"/>
          <w:lang w:val="en-US"/>
        </w:rPr>
        <w:t xml:space="preserve">Private schools are forbidden as a result of a government crackdown on the establishment of Islamic fundamentalist (Wahhabi) schools. However, in 1999 the government-supported Tashkent Islamic University was founded for the teaching of Islam </w:t>
      </w:r>
      <w:r w:rsidRPr="00D45F59">
        <w:rPr>
          <w:rFonts w:ascii="Times New Roman" w:hAnsi="Times New Roman" w:cs="Times New Roman"/>
          <w:sz w:val="24"/>
          <w:szCs w:val="18"/>
        </w:rPr>
        <w:fldChar w:fldCharType="begin" w:fldLock="1"/>
      </w:r>
      <w:r w:rsidR="0054222F">
        <w:rPr>
          <w:rFonts w:ascii="Times New Roman" w:hAnsi="Times New Roman" w:cs="Times New Roman"/>
          <w:sz w:val="24"/>
          <w:szCs w:val="18"/>
          <w:lang w:val="en-US"/>
        </w:rPr>
        <w:instrText>ADDIN CSL_CITATION {"citationItems":[{"id":"ITEM-1","itemData":{"DOI":"10.21474/ijar01/10237","abstract":"Handwriting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 Jakhongir","given":"","non-dropping-particle":"","parse-names":false,"suffix":""}],"container-title":"International Journal of Advanced Research","id":"ITEM-1","issue":"12","issued":{"date-parts":[["2019"]]},"page":"947-954","title":"The Importance of Handwriting in Education","type":"article-journal","volume":"7"},"uris":["http://www.mendeley.com/documents/?uuid=200d1ae4-e92a-4ef9-b76d-4cd63c7f7cde"]}],"mendeley":{"formattedCitation":"(Shaturaev Jakhongir, 2019)","plainTextFormattedCitation":"(Shaturaev Jakhongir, 2019)","previouslyFormattedCitation":"(Shaturaev Jakhongir, 2019)"},"properties":{"noteIndex":0},"schema":"https://github.com/citation-style-language/schema/raw/master/csl-citation.json"}</w:instrText>
      </w:r>
      <w:r w:rsidRPr="00D45F59">
        <w:rPr>
          <w:rFonts w:ascii="Times New Roman" w:hAnsi="Times New Roman" w:cs="Times New Roman"/>
          <w:sz w:val="24"/>
          <w:szCs w:val="18"/>
        </w:rPr>
        <w:fldChar w:fldCharType="separate"/>
      </w:r>
      <w:r w:rsidR="0054222F" w:rsidRPr="0054222F">
        <w:rPr>
          <w:rFonts w:ascii="Times New Roman" w:hAnsi="Times New Roman" w:cs="Times New Roman"/>
          <w:noProof/>
          <w:sz w:val="24"/>
          <w:szCs w:val="18"/>
          <w:lang w:val="en-US"/>
        </w:rPr>
        <w:t>(Shaturaev Jakhongir, 2019)</w:t>
      </w:r>
      <w:r w:rsidRPr="00D45F59">
        <w:rPr>
          <w:rFonts w:ascii="Times New Roman" w:hAnsi="Times New Roman" w:cs="Times New Roman"/>
          <w:sz w:val="24"/>
          <w:szCs w:val="18"/>
        </w:rPr>
        <w:fldChar w:fldCharType="end"/>
      </w:r>
      <w:r w:rsidRPr="00D45F59">
        <w:rPr>
          <w:rFonts w:ascii="Times New Roman" w:hAnsi="Times New Roman" w:cs="Times New Roman"/>
          <w:sz w:val="24"/>
          <w:szCs w:val="18"/>
          <w:lang w:val="en-US"/>
        </w:rPr>
        <w:t>. Among higher educational institutions, the highest-rated at the domestic level are Tashkent Financial Institute and Westminster International University in Tashkent. The first one was established by the initiative of the first president of Uzbekistan in 1991. Later in 2002, in collaboration with the University of Westminster (UK) and “UMID” Foundation of the President of the Republic of Uzbekistan,</w:t>
      </w:r>
    </w:p>
    <w:p w:rsidR="00D45F59" w:rsidRPr="00D45F59" w:rsidRDefault="00FA7906" w:rsidP="00FA7906">
      <w:pPr>
        <w:spacing w:before="240" w:after="0" w:line="360" w:lineRule="auto"/>
        <w:jc w:val="center"/>
        <w:rPr>
          <w:rFonts w:ascii="Times New Roman" w:eastAsia="Times New Roman" w:hAnsi="Times New Roman" w:cs="Times New Roman"/>
          <w:i/>
          <w:sz w:val="24"/>
          <w:szCs w:val="18"/>
          <w:lang w:val="en-US" w:eastAsia="ru-RU"/>
        </w:rPr>
      </w:pPr>
      <w:r>
        <w:rPr>
          <w:rFonts w:ascii="Times New Roman" w:eastAsia="Times New Roman" w:hAnsi="Times New Roman" w:cs="Times New Roman"/>
          <w:b/>
          <w:bCs/>
          <w:szCs w:val="18"/>
          <w:shd w:val="clear" w:color="auto" w:fill="FFFFFF"/>
          <w:lang w:val="en-US" w:eastAsia="ru-RU"/>
        </w:rPr>
        <w:t xml:space="preserve">                                                                     </w:t>
      </w:r>
      <w:r w:rsidR="00D45F59" w:rsidRPr="00FA7906">
        <w:rPr>
          <w:rFonts w:ascii="Times New Roman" w:eastAsia="Times New Roman" w:hAnsi="Times New Roman" w:cs="Times New Roman"/>
          <w:b/>
          <w:bCs/>
          <w:szCs w:val="18"/>
          <w:shd w:val="clear" w:color="auto" w:fill="FFFFFF"/>
          <w:lang w:val="en-US" w:eastAsia="ru-RU"/>
        </w:rPr>
        <w:t>Grading Scales:</w:t>
      </w:r>
      <w:r w:rsidRPr="00FA7906">
        <w:rPr>
          <w:rFonts w:ascii="Times New Roman" w:eastAsia="Times New Roman" w:hAnsi="Times New Roman" w:cs="Times New Roman"/>
          <w:i/>
          <w:szCs w:val="18"/>
          <w:lang w:val="en-US" w:eastAsia="ru-RU"/>
        </w:rPr>
        <w:t xml:space="preserve"> </w:t>
      </w:r>
      <w:r>
        <w:rPr>
          <w:rFonts w:ascii="Times New Roman" w:eastAsia="Times New Roman" w:hAnsi="Times New Roman" w:cs="Times New Roman"/>
          <w:i/>
          <w:szCs w:val="18"/>
          <w:lang w:val="en-US" w:eastAsia="ru-RU"/>
        </w:rPr>
        <w:t xml:space="preserve">                                                            </w:t>
      </w:r>
      <w:r w:rsidRPr="00FA7906">
        <w:rPr>
          <w:rFonts w:ascii="Times New Roman" w:eastAsia="Times New Roman" w:hAnsi="Times New Roman" w:cs="Times New Roman"/>
          <w:i/>
          <w:szCs w:val="18"/>
          <w:lang w:val="en-US" w:eastAsia="ru-RU"/>
        </w:rPr>
        <w:t>Table 3</w:t>
      </w:r>
      <w:r w:rsidR="00D45F59" w:rsidRPr="00FA7906">
        <w:rPr>
          <w:rFonts w:ascii="Times New Roman" w:eastAsia="Times New Roman" w:hAnsi="Times New Roman" w:cs="Times New Roman"/>
          <w:szCs w:val="18"/>
          <w:lang w:val="en-US" w:eastAsia="ru-RU"/>
        </w:rPr>
        <w:br/>
      </w:r>
      <w:r w:rsidR="00D45F59" w:rsidRPr="00FA7906">
        <w:rPr>
          <w:rFonts w:ascii="Times New Roman" w:eastAsia="Times New Roman" w:hAnsi="Times New Roman" w:cs="Times New Roman"/>
          <w:b/>
          <w:i/>
          <w:szCs w:val="18"/>
          <w:lang w:val="en-US" w:eastAsia="ru-RU"/>
        </w:rPr>
        <w:t>Tertiary</w:t>
      </w:r>
    </w:p>
    <w:tbl>
      <w:tblPr>
        <w:tblW w:w="0" w:type="auto"/>
        <w:tblInd w:w="827" w:type="dxa"/>
        <w:tblBorders>
          <w:top w:val="single" w:sz="6" w:space="0" w:color="F0F0F0"/>
          <w:left w:val="single" w:sz="6" w:space="0" w:color="F0F0F0"/>
          <w:bottom w:val="single" w:sz="6" w:space="0" w:color="F0F0F0"/>
          <w:right w:val="single" w:sz="6" w:space="0" w:color="F0F0F0"/>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671"/>
        <w:gridCol w:w="1311"/>
        <w:gridCol w:w="2321"/>
        <w:gridCol w:w="971"/>
      </w:tblGrid>
      <w:tr w:rsidR="00D45F59" w:rsidRPr="00D45F59" w:rsidTr="00D45F59">
        <w:tc>
          <w:tcPr>
            <w:tcW w:w="0" w:type="auto"/>
            <w:tcBorders>
              <w:top w:val="single" w:sz="6" w:space="0" w:color="F0F0F0"/>
              <w:left w:val="single" w:sz="6" w:space="0" w:color="F0F0F0"/>
              <w:bottom w:val="single" w:sz="6" w:space="0" w:color="F0F0F0"/>
              <w:right w:val="single" w:sz="6" w:space="0" w:color="F0F0F0"/>
            </w:tcBorders>
            <w:shd w:val="clear" w:color="auto" w:fill="F0F0F0"/>
            <w:tcMar>
              <w:top w:w="90" w:type="dxa"/>
              <w:left w:w="75" w:type="dxa"/>
              <w:bottom w:w="90" w:type="dxa"/>
              <w:right w:w="75" w:type="dxa"/>
            </w:tcMar>
            <w:vAlign w:val="center"/>
            <w:hideMark/>
          </w:tcPr>
          <w:p w:rsidR="00D45F59" w:rsidRPr="00D45F59" w:rsidRDefault="00D45F59" w:rsidP="004D3DFE">
            <w:pPr>
              <w:spacing w:after="0" w:line="240" w:lineRule="auto"/>
              <w:rPr>
                <w:rFonts w:ascii="Arial" w:eastAsia="Times New Roman" w:hAnsi="Arial" w:cs="Arial"/>
                <w:b/>
                <w:bCs/>
                <w:color w:val="0D0D0D"/>
                <w:sz w:val="18"/>
                <w:szCs w:val="18"/>
                <w:lang w:val="en-US" w:eastAsia="ru-RU"/>
              </w:rPr>
            </w:pPr>
            <w:r w:rsidRPr="00D45F59">
              <w:rPr>
                <w:rFonts w:ascii="Arial" w:eastAsia="Times New Roman" w:hAnsi="Arial" w:cs="Arial"/>
                <w:b/>
                <w:bCs/>
                <w:color w:val="0D0D0D"/>
                <w:sz w:val="18"/>
                <w:szCs w:val="18"/>
                <w:lang w:val="en-US" w:eastAsia="ru-RU"/>
              </w:rPr>
              <w:t>Education Stage</w:t>
            </w:r>
          </w:p>
        </w:tc>
        <w:tc>
          <w:tcPr>
            <w:tcW w:w="0" w:type="auto"/>
            <w:tcBorders>
              <w:top w:val="single" w:sz="6" w:space="0" w:color="F0F0F0"/>
              <w:left w:val="single" w:sz="6" w:space="0" w:color="F0F0F0"/>
              <w:bottom w:val="single" w:sz="6" w:space="0" w:color="F0F0F0"/>
              <w:right w:val="single" w:sz="6" w:space="0" w:color="F0F0F0"/>
            </w:tcBorders>
            <w:shd w:val="clear" w:color="auto" w:fill="F0F0F0"/>
            <w:tcMar>
              <w:top w:w="90" w:type="dxa"/>
              <w:left w:w="75" w:type="dxa"/>
              <w:bottom w:w="90" w:type="dxa"/>
              <w:right w:w="75" w:type="dxa"/>
            </w:tcMar>
            <w:vAlign w:val="center"/>
            <w:hideMark/>
          </w:tcPr>
          <w:p w:rsidR="00D45F59" w:rsidRPr="00D45F59" w:rsidRDefault="00D45F59" w:rsidP="004D3DFE">
            <w:pPr>
              <w:spacing w:after="0" w:line="240" w:lineRule="auto"/>
              <w:rPr>
                <w:rFonts w:ascii="Arial" w:eastAsia="Times New Roman" w:hAnsi="Arial" w:cs="Arial"/>
                <w:b/>
                <w:bCs/>
                <w:color w:val="0D0D0D"/>
                <w:sz w:val="18"/>
                <w:szCs w:val="18"/>
                <w:lang w:val="en-US" w:eastAsia="ru-RU"/>
              </w:rPr>
            </w:pPr>
            <w:r w:rsidRPr="00D45F59">
              <w:rPr>
                <w:rFonts w:ascii="Arial" w:eastAsia="Times New Roman" w:hAnsi="Arial" w:cs="Arial"/>
                <w:b/>
                <w:bCs/>
                <w:color w:val="0D0D0D"/>
                <w:sz w:val="18"/>
                <w:szCs w:val="18"/>
                <w:lang w:val="en-US" w:eastAsia="ru-RU"/>
              </w:rPr>
              <w:t>Grade</w:t>
            </w:r>
          </w:p>
        </w:tc>
        <w:tc>
          <w:tcPr>
            <w:tcW w:w="0" w:type="auto"/>
            <w:tcBorders>
              <w:top w:val="single" w:sz="6" w:space="0" w:color="F0F0F0"/>
              <w:left w:val="single" w:sz="6" w:space="0" w:color="F0F0F0"/>
              <w:bottom w:val="single" w:sz="6" w:space="0" w:color="F0F0F0"/>
              <w:right w:val="single" w:sz="6" w:space="0" w:color="F0F0F0"/>
            </w:tcBorders>
            <w:shd w:val="clear" w:color="auto" w:fill="F0F0F0"/>
            <w:tcMar>
              <w:top w:w="90" w:type="dxa"/>
              <w:left w:w="75" w:type="dxa"/>
              <w:bottom w:w="90" w:type="dxa"/>
              <w:right w:w="75" w:type="dxa"/>
            </w:tcMar>
            <w:vAlign w:val="center"/>
            <w:hideMark/>
          </w:tcPr>
          <w:p w:rsidR="00D45F59" w:rsidRPr="00D45F59" w:rsidRDefault="00D45F59" w:rsidP="004D3DFE">
            <w:pPr>
              <w:spacing w:after="0" w:line="240" w:lineRule="auto"/>
              <w:rPr>
                <w:rFonts w:ascii="Arial" w:eastAsia="Times New Roman" w:hAnsi="Arial" w:cs="Arial"/>
                <w:b/>
                <w:bCs/>
                <w:color w:val="0D0D0D"/>
                <w:sz w:val="18"/>
                <w:szCs w:val="18"/>
                <w:lang w:val="en-US" w:eastAsia="ru-RU"/>
              </w:rPr>
            </w:pPr>
            <w:r w:rsidRPr="00D45F59">
              <w:rPr>
                <w:rFonts w:ascii="Arial" w:eastAsia="Times New Roman" w:hAnsi="Arial" w:cs="Arial"/>
                <w:b/>
                <w:bCs/>
                <w:color w:val="0D0D0D"/>
                <w:sz w:val="18"/>
                <w:szCs w:val="18"/>
                <w:lang w:val="en-US" w:eastAsia="ru-RU"/>
              </w:rPr>
              <w:t>Scale</w:t>
            </w:r>
          </w:p>
        </w:tc>
        <w:tc>
          <w:tcPr>
            <w:tcW w:w="0" w:type="auto"/>
            <w:tcBorders>
              <w:top w:val="single" w:sz="6" w:space="0" w:color="F0F0F0"/>
              <w:left w:val="single" w:sz="6" w:space="0" w:color="F0F0F0"/>
              <w:bottom w:val="single" w:sz="6" w:space="0" w:color="F0F0F0"/>
              <w:right w:val="single" w:sz="6" w:space="0" w:color="F0F0F0"/>
            </w:tcBorders>
            <w:shd w:val="clear" w:color="auto" w:fill="F0F0F0"/>
            <w:tcMar>
              <w:top w:w="90" w:type="dxa"/>
              <w:left w:w="75" w:type="dxa"/>
              <w:bottom w:w="90" w:type="dxa"/>
              <w:right w:w="75" w:type="dxa"/>
            </w:tcMar>
            <w:vAlign w:val="center"/>
            <w:hideMark/>
          </w:tcPr>
          <w:p w:rsidR="00D45F59" w:rsidRPr="00D45F59" w:rsidRDefault="00D45F59" w:rsidP="004D3DFE">
            <w:pPr>
              <w:spacing w:after="0" w:line="240" w:lineRule="auto"/>
              <w:rPr>
                <w:rFonts w:ascii="Arial" w:eastAsia="Times New Roman" w:hAnsi="Arial" w:cs="Arial"/>
                <w:b/>
                <w:bCs/>
                <w:color w:val="0D0D0D"/>
                <w:sz w:val="18"/>
                <w:szCs w:val="18"/>
                <w:lang w:val="en-US" w:eastAsia="ru-RU"/>
              </w:rPr>
            </w:pPr>
            <w:r w:rsidRPr="00D45F59">
              <w:rPr>
                <w:rFonts w:ascii="Arial" w:eastAsia="Times New Roman" w:hAnsi="Arial" w:cs="Arial"/>
                <w:b/>
                <w:bCs/>
                <w:color w:val="0D0D0D"/>
                <w:sz w:val="18"/>
                <w:szCs w:val="18"/>
                <w:lang w:val="en-US" w:eastAsia="ru-RU"/>
              </w:rPr>
              <w:t>Grade Description</w:t>
            </w:r>
          </w:p>
        </w:tc>
        <w:tc>
          <w:tcPr>
            <w:tcW w:w="0" w:type="auto"/>
            <w:tcBorders>
              <w:top w:val="single" w:sz="6" w:space="0" w:color="F0F0F0"/>
              <w:left w:val="single" w:sz="6" w:space="0" w:color="F0F0F0"/>
              <w:bottom w:val="single" w:sz="6" w:space="0" w:color="F0F0F0"/>
              <w:right w:val="single" w:sz="6" w:space="0" w:color="F0F0F0"/>
            </w:tcBorders>
            <w:shd w:val="clear" w:color="auto" w:fill="F0F0F0"/>
            <w:tcMar>
              <w:top w:w="90" w:type="dxa"/>
              <w:left w:w="75" w:type="dxa"/>
              <w:bottom w:w="90" w:type="dxa"/>
              <w:right w:w="75" w:type="dxa"/>
            </w:tcMar>
            <w:vAlign w:val="center"/>
            <w:hideMark/>
          </w:tcPr>
          <w:p w:rsidR="00D45F59" w:rsidRPr="00D45F59" w:rsidRDefault="00D45F59" w:rsidP="004D3DFE">
            <w:pPr>
              <w:spacing w:after="0" w:line="240" w:lineRule="auto"/>
              <w:rPr>
                <w:rFonts w:ascii="Arial" w:eastAsia="Times New Roman" w:hAnsi="Arial" w:cs="Arial"/>
                <w:b/>
                <w:bCs/>
                <w:color w:val="0D0D0D"/>
                <w:sz w:val="18"/>
                <w:szCs w:val="18"/>
                <w:lang w:val="en-US" w:eastAsia="ru-RU"/>
              </w:rPr>
            </w:pPr>
            <w:r w:rsidRPr="00D45F59">
              <w:rPr>
                <w:rFonts w:ascii="Arial" w:eastAsia="Times New Roman" w:hAnsi="Arial" w:cs="Arial"/>
                <w:b/>
                <w:bCs/>
                <w:color w:val="0D0D0D"/>
                <w:sz w:val="18"/>
                <w:szCs w:val="18"/>
                <w:lang w:val="en-US" w:eastAsia="ru-RU"/>
              </w:rPr>
              <w:t>US Grade</w:t>
            </w:r>
          </w:p>
        </w:tc>
      </w:tr>
      <w:tr w:rsidR="00D45F59" w:rsidRPr="00D45F59" w:rsidTr="00D45F59">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r w:rsidRPr="00D45F59">
              <w:rPr>
                <w:rFonts w:ascii="Arial" w:eastAsia="Times New Roman" w:hAnsi="Arial" w:cs="Arial"/>
                <w:color w:val="0D0D0D"/>
                <w:sz w:val="18"/>
                <w:szCs w:val="18"/>
                <w:lang w:val="en-US" w:eastAsia="ru-RU"/>
              </w:rPr>
              <w:t>Tertiary</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r w:rsidRPr="00D45F59">
              <w:rPr>
                <w:rFonts w:ascii="Arial" w:eastAsia="Times New Roman" w:hAnsi="Arial" w:cs="Arial"/>
                <w:color w:val="0D0D0D"/>
                <w:sz w:val="18"/>
                <w:szCs w:val="18"/>
                <w:lang w:val="en-US" w:eastAsia="ru-RU"/>
              </w:rPr>
              <w:t>85.00 - 100.00</w:t>
            </w: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proofErr w:type="spellStart"/>
            <w:r w:rsidRPr="00D45F59">
              <w:rPr>
                <w:rFonts w:ascii="Arial" w:eastAsia="Times New Roman" w:hAnsi="Arial" w:cs="Arial"/>
                <w:color w:val="0D0D0D"/>
                <w:sz w:val="18"/>
                <w:szCs w:val="18"/>
                <w:lang w:val="en-US" w:eastAsia="ru-RU"/>
              </w:rPr>
              <w:t>A'lo</w:t>
            </w:r>
            <w:proofErr w:type="spellEnd"/>
            <w:r w:rsidRPr="00D45F59">
              <w:rPr>
                <w:rFonts w:ascii="Arial" w:eastAsia="Times New Roman" w:hAnsi="Arial" w:cs="Arial"/>
                <w:color w:val="0D0D0D"/>
                <w:sz w:val="18"/>
                <w:szCs w:val="18"/>
                <w:lang w:val="en-US" w:eastAsia="ru-RU"/>
              </w:rPr>
              <w:t xml:space="preserve"> (Excellent)</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D45F59" w:rsidRDefault="00D45F59" w:rsidP="004D3DFE">
            <w:pPr>
              <w:spacing w:after="0" w:line="240" w:lineRule="auto"/>
              <w:jc w:val="center"/>
              <w:rPr>
                <w:rFonts w:ascii="Arial" w:eastAsia="Times New Roman" w:hAnsi="Arial" w:cs="Arial"/>
                <w:color w:val="0D0D0D"/>
                <w:sz w:val="18"/>
                <w:szCs w:val="18"/>
                <w:lang w:val="en-US" w:eastAsia="ru-RU"/>
              </w:rPr>
            </w:pPr>
            <w:r w:rsidRPr="00D45F59">
              <w:rPr>
                <w:rFonts w:ascii="Arial" w:eastAsia="Times New Roman" w:hAnsi="Arial" w:cs="Arial"/>
                <w:color w:val="0D0D0D"/>
                <w:sz w:val="18"/>
                <w:szCs w:val="18"/>
                <w:lang w:val="en-US" w:eastAsia="ru-RU"/>
              </w:rPr>
              <w:t>A</w:t>
            </w:r>
          </w:p>
        </w:tc>
      </w:tr>
      <w:tr w:rsidR="00D45F59" w:rsidRPr="0058646C" w:rsidTr="00D45F59">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r w:rsidRPr="00D45F59">
              <w:rPr>
                <w:rFonts w:ascii="Arial" w:eastAsia="Times New Roman" w:hAnsi="Arial" w:cs="Arial"/>
                <w:color w:val="0D0D0D"/>
                <w:sz w:val="18"/>
                <w:szCs w:val="18"/>
                <w:lang w:val="en-US" w:eastAsia="ru-RU"/>
              </w:rPr>
              <w:t>Tertiary</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D45F59" w:rsidRDefault="00D45F59" w:rsidP="004D3DFE">
            <w:pPr>
              <w:spacing w:after="0" w:line="240" w:lineRule="auto"/>
              <w:rPr>
                <w:rFonts w:ascii="Arial" w:eastAsia="Times New Roman" w:hAnsi="Arial" w:cs="Arial"/>
                <w:color w:val="0D0D0D"/>
                <w:sz w:val="18"/>
                <w:szCs w:val="18"/>
                <w:lang w:val="en-US" w:eastAsia="ru-RU"/>
              </w:rPr>
            </w:pPr>
            <w:r w:rsidRPr="00D45F59">
              <w:rPr>
                <w:rFonts w:ascii="Arial" w:eastAsia="Times New Roman" w:hAnsi="Arial" w:cs="Arial"/>
                <w:color w:val="0D0D0D"/>
                <w:sz w:val="18"/>
                <w:szCs w:val="18"/>
                <w:lang w:val="en-US" w:eastAsia="ru-RU"/>
              </w:rPr>
              <w:t>75.00 - 84.00</w:t>
            </w: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D45F59">
              <w:rPr>
                <w:rFonts w:ascii="Arial" w:eastAsia="Times New Roman" w:hAnsi="Arial" w:cs="Arial"/>
                <w:color w:val="0D0D0D"/>
                <w:sz w:val="18"/>
                <w:szCs w:val="18"/>
                <w:lang w:val="en-US" w:eastAsia="ru-RU"/>
              </w:rPr>
              <w:t>Ya</w:t>
            </w:r>
            <w:r w:rsidRPr="0058646C">
              <w:rPr>
                <w:rFonts w:ascii="Arial" w:eastAsia="Times New Roman" w:hAnsi="Arial" w:cs="Arial"/>
                <w:color w:val="0D0D0D"/>
                <w:sz w:val="18"/>
                <w:szCs w:val="18"/>
                <w:lang w:eastAsia="ru-RU"/>
              </w:rPr>
              <w:t>xshi</w:t>
            </w:r>
            <w:proofErr w:type="spellEnd"/>
            <w:r w:rsidRPr="0058646C">
              <w:rPr>
                <w:rFonts w:ascii="Arial" w:eastAsia="Times New Roman" w:hAnsi="Arial" w:cs="Arial"/>
                <w:color w:val="0D0D0D"/>
                <w:sz w:val="18"/>
                <w:szCs w:val="18"/>
                <w:lang w:eastAsia="ru-RU"/>
              </w:rPr>
              <w:t xml:space="preserve"> (</w:t>
            </w:r>
            <w:proofErr w:type="spellStart"/>
            <w:r w:rsidRPr="0058646C">
              <w:rPr>
                <w:rFonts w:ascii="Arial" w:eastAsia="Times New Roman" w:hAnsi="Arial" w:cs="Arial"/>
                <w:color w:val="0D0D0D"/>
                <w:sz w:val="18"/>
                <w:szCs w:val="18"/>
                <w:lang w:eastAsia="ru-RU"/>
              </w:rPr>
              <w:t>Good</w:t>
            </w:r>
            <w:proofErr w:type="spellEnd"/>
            <w:r w:rsidRPr="0058646C">
              <w:rPr>
                <w:rFonts w:ascii="Arial" w:eastAsia="Times New Roman" w:hAnsi="Arial" w:cs="Arial"/>
                <w:color w:val="0D0D0D"/>
                <w:sz w:val="18"/>
                <w:szCs w:val="18"/>
                <w:lang w:eastAsia="ru-RU"/>
              </w:rPr>
              <w:t>)</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B</w:t>
            </w:r>
          </w:p>
        </w:tc>
      </w:tr>
      <w:tr w:rsidR="00D45F59" w:rsidRPr="0058646C" w:rsidTr="00D45F59">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Tertiary</w:t>
            </w:r>
            <w:proofErr w:type="spellEnd"/>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55.00 - 74.00</w:t>
            </w: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Qoniqarli</w:t>
            </w:r>
            <w:proofErr w:type="spellEnd"/>
            <w:r w:rsidRPr="0058646C">
              <w:rPr>
                <w:rFonts w:ascii="Arial" w:eastAsia="Times New Roman" w:hAnsi="Arial" w:cs="Arial"/>
                <w:color w:val="0D0D0D"/>
                <w:sz w:val="18"/>
                <w:szCs w:val="18"/>
                <w:lang w:eastAsia="ru-RU"/>
              </w:rPr>
              <w:t xml:space="preserve"> (</w:t>
            </w:r>
            <w:proofErr w:type="spellStart"/>
            <w:r w:rsidRPr="0058646C">
              <w:rPr>
                <w:rFonts w:ascii="Arial" w:eastAsia="Times New Roman" w:hAnsi="Arial" w:cs="Arial"/>
                <w:color w:val="0D0D0D"/>
                <w:sz w:val="18"/>
                <w:szCs w:val="18"/>
                <w:lang w:eastAsia="ru-RU"/>
              </w:rPr>
              <w:t>Satisfactory</w:t>
            </w:r>
            <w:proofErr w:type="spellEnd"/>
            <w:r w:rsidRPr="0058646C">
              <w:rPr>
                <w:rFonts w:ascii="Arial" w:eastAsia="Times New Roman" w:hAnsi="Arial" w:cs="Arial"/>
                <w:color w:val="0D0D0D"/>
                <w:sz w:val="18"/>
                <w:szCs w:val="18"/>
                <w:lang w:eastAsia="ru-RU"/>
              </w:rPr>
              <w:t>)</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C</w:t>
            </w:r>
          </w:p>
        </w:tc>
      </w:tr>
      <w:tr w:rsidR="00D45F59" w:rsidRPr="0058646C" w:rsidTr="00D45F59">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Tertiary</w:t>
            </w:r>
            <w:proofErr w:type="spellEnd"/>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0.00 - 54.99</w:t>
            </w: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Qoniqarsiz</w:t>
            </w:r>
            <w:proofErr w:type="spellEnd"/>
            <w:r w:rsidRPr="0058646C">
              <w:rPr>
                <w:rFonts w:ascii="Arial" w:eastAsia="Times New Roman" w:hAnsi="Arial" w:cs="Arial"/>
                <w:color w:val="0D0D0D"/>
                <w:sz w:val="18"/>
                <w:szCs w:val="18"/>
                <w:lang w:eastAsia="ru-RU"/>
              </w:rPr>
              <w:t xml:space="preserve"> (</w:t>
            </w:r>
            <w:proofErr w:type="spellStart"/>
            <w:r w:rsidRPr="0058646C">
              <w:rPr>
                <w:rFonts w:ascii="Arial" w:eastAsia="Times New Roman" w:hAnsi="Arial" w:cs="Arial"/>
                <w:color w:val="0D0D0D"/>
                <w:sz w:val="18"/>
                <w:szCs w:val="18"/>
                <w:lang w:eastAsia="ru-RU"/>
              </w:rPr>
              <w:t>Unsatisfactory</w:t>
            </w:r>
            <w:proofErr w:type="spellEnd"/>
            <w:r w:rsidRPr="0058646C">
              <w:rPr>
                <w:rFonts w:ascii="Arial" w:eastAsia="Times New Roman" w:hAnsi="Arial" w:cs="Arial"/>
                <w:color w:val="0D0D0D"/>
                <w:sz w:val="18"/>
                <w:szCs w:val="18"/>
                <w:lang w:eastAsia="ru-RU"/>
              </w:rPr>
              <w:t>)</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F</w:t>
            </w:r>
          </w:p>
        </w:tc>
      </w:tr>
      <w:tr w:rsidR="00D45F59" w:rsidRPr="0058646C" w:rsidTr="00D45F59">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Tertiary</w:t>
            </w:r>
            <w:proofErr w:type="spellEnd"/>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P</w:t>
            </w: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p>
        </w:tc>
        <w:tc>
          <w:tcPr>
            <w:tcW w:w="0" w:type="auto"/>
            <w:tcBorders>
              <w:top w:val="single" w:sz="6" w:space="0" w:color="F0F0F0"/>
              <w:left w:val="single" w:sz="6" w:space="0" w:color="F0F0F0"/>
              <w:bottom w:val="single" w:sz="6" w:space="0" w:color="F0F0F0"/>
              <w:right w:val="single" w:sz="6" w:space="0" w:color="F0F0F0"/>
            </w:tcBorders>
            <w:shd w:val="clear" w:color="auto" w:fill="FFFFFF"/>
            <w:noWrap/>
            <w:tcMar>
              <w:top w:w="75" w:type="dxa"/>
              <w:left w:w="75" w:type="dxa"/>
              <w:bottom w:w="75" w:type="dxa"/>
              <w:right w:w="75" w:type="dxa"/>
            </w:tcMar>
            <w:vAlign w:val="center"/>
            <w:hideMark/>
          </w:tcPr>
          <w:p w:rsidR="00D45F59" w:rsidRPr="0058646C" w:rsidRDefault="00D45F59" w:rsidP="004D3DFE">
            <w:pPr>
              <w:spacing w:after="0" w:line="240" w:lineRule="auto"/>
              <w:rPr>
                <w:rFonts w:ascii="Arial" w:eastAsia="Times New Roman" w:hAnsi="Arial" w:cs="Arial"/>
                <w:color w:val="0D0D0D"/>
                <w:sz w:val="18"/>
                <w:szCs w:val="18"/>
                <w:lang w:eastAsia="ru-RU"/>
              </w:rPr>
            </w:pPr>
            <w:proofErr w:type="spellStart"/>
            <w:r w:rsidRPr="0058646C">
              <w:rPr>
                <w:rFonts w:ascii="Arial" w:eastAsia="Times New Roman" w:hAnsi="Arial" w:cs="Arial"/>
                <w:color w:val="0D0D0D"/>
                <w:sz w:val="18"/>
                <w:szCs w:val="18"/>
                <w:lang w:eastAsia="ru-RU"/>
              </w:rPr>
              <w:t>Sinov</w:t>
            </w:r>
            <w:proofErr w:type="spellEnd"/>
            <w:r w:rsidRPr="0058646C">
              <w:rPr>
                <w:rFonts w:ascii="Arial" w:eastAsia="Times New Roman" w:hAnsi="Arial" w:cs="Arial"/>
                <w:color w:val="0D0D0D"/>
                <w:sz w:val="18"/>
                <w:szCs w:val="18"/>
                <w:lang w:eastAsia="ru-RU"/>
              </w:rPr>
              <w:t xml:space="preserve"> (</w:t>
            </w:r>
            <w:proofErr w:type="spellStart"/>
            <w:r w:rsidRPr="0058646C">
              <w:rPr>
                <w:rFonts w:ascii="Arial" w:eastAsia="Times New Roman" w:hAnsi="Arial" w:cs="Arial"/>
                <w:color w:val="0D0D0D"/>
                <w:sz w:val="18"/>
                <w:szCs w:val="18"/>
                <w:lang w:eastAsia="ru-RU"/>
              </w:rPr>
              <w:t>Pass</w:t>
            </w:r>
            <w:proofErr w:type="spellEnd"/>
            <w:r w:rsidRPr="0058646C">
              <w:rPr>
                <w:rFonts w:ascii="Arial" w:eastAsia="Times New Roman" w:hAnsi="Arial" w:cs="Arial"/>
                <w:color w:val="0D0D0D"/>
                <w:sz w:val="18"/>
                <w:szCs w:val="18"/>
                <w:lang w:eastAsia="ru-RU"/>
              </w:rPr>
              <w:t>)</w:t>
            </w:r>
          </w:p>
        </w:tc>
        <w:tc>
          <w:tcPr>
            <w:tcW w:w="0" w:type="auto"/>
            <w:tcBorders>
              <w:top w:val="single" w:sz="6" w:space="0" w:color="F0F0F0"/>
              <w:left w:val="single" w:sz="6" w:space="0" w:color="F0F0F0"/>
              <w:bottom w:val="single" w:sz="6" w:space="0" w:color="F0F0F0"/>
              <w:right w:val="single" w:sz="6" w:space="0" w:color="F0F0F0"/>
            </w:tcBorders>
            <w:shd w:val="clear" w:color="auto" w:fill="FFFFFF"/>
            <w:tcMar>
              <w:top w:w="75" w:type="dxa"/>
              <w:left w:w="75" w:type="dxa"/>
              <w:bottom w:w="75" w:type="dxa"/>
              <w:right w:w="75" w:type="dxa"/>
            </w:tcMar>
            <w:vAlign w:val="center"/>
            <w:hideMark/>
          </w:tcPr>
          <w:p w:rsidR="00D45F59" w:rsidRPr="0058646C" w:rsidRDefault="00D45F59" w:rsidP="004D3DFE">
            <w:pPr>
              <w:spacing w:after="0" w:line="240" w:lineRule="auto"/>
              <w:jc w:val="center"/>
              <w:rPr>
                <w:rFonts w:ascii="Arial" w:eastAsia="Times New Roman" w:hAnsi="Arial" w:cs="Arial"/>
                <w:color w:val="0D0D0D"/>
                <w:sz w:val="18"/>
                <w:szCs w:val="18"/>
                <w:lang w:eastAsia="ru-RU"/>
              </w:rPr>
            </w:pPr>
            <w:r w:rsidRPr="0058646C">
              <w:rPr>
                <w:rFonts w:ascii="Arial" w:eastAsia="Times New Roman" w:hAnsi="Arial" w:cs="Arial"/>
                <w:color w:val="0D0D0D"/>
                <w:sz w:val="18"/>
                <w:szCs w:val="18"/>
                <w:lang w:eastAsia="ru-RU"/>
              </w:rPr>
              <w:t>P</w:t>
            </w:r>
          </w:p>
        </w:tc>
      </w:tr>
    </w:tbl>
    <w:p w:rsidR="00D45F59" w:rsidRDefault="00D45F59" w:rsidP="00D45F59">
      <w:pPr>
        <w:pStyle w:val="Default"/>
        <w:spacing w:line="360" w:lineRule="auto"/>
        <w:jc w:val="both"/>
        <w:rPr>
          <w:rFonts w:ascii="Times New Roman" w:hAnsi="Times New Roman" w:cs="Times New Roman"/>
          <w:color w:val="0D0D0D"/>
          <w:szCs w:val="18"/>
          <w:lang w:val="en-US"/>
        </w:rPr>
      </w:pPr>
    </w:p>
    <w:p w:rsidR="00D45F59" w:rsidRPr="00D45F59" w:rsidRDefault="00D45F59" w:rsidP="00FA7906">
      <w:pPr>
        <w:pStyle w:val="Default"/>
        <w:spacing w:line="360" w:lineRule="auto"/>
        <w:ind w:firstLine="708"/>
        <w:jc w:val="both"/>
        <w:rPr>
          <w:rFonts w:ascii="Times New Roman" w:hAnsi="Times New Roman" w:cs="Times New Roman"/>
          <w:color w:val="0D0D0D"/>
          <w:szCs w:val="18"/>
        </w:rPr>
      </w:pPr>
      <w:r w:rsidRPr="00D45F59">
        <w:rPr>
          <w:rFonts w:ascii="Times New Roman" w:hAnsi="Times New Roman" w:cs="Times New Roman"/>
          <w:color w:val="0D0D0D"/>
          <w:szCs w:val="18"/>
          <w:lang w:val="en-US"/>
        </w:rPr>
        <w:lastRenderedPageBreak/>
        <w:t>According to official sources, about 60 percent of Uzbekistan's population is covered under the system of education. The earlier educational system required 11 years of compulsory schooling for both men and women. In 1992 the policy decision was made to change from 11 to 9 years of compulsory education. After nine years of compulsory schooling, students can prepare for higher education in tenth or eleventh grade or turn to vocational training</w:t>
      </w:r>
      <w:r w:rsidR="0054222F">
        <w:rPr>
          <w:rFonts w:ascii="Times New Roman" w:hAnsi="Times New Roman" w:cs="Times New Roman"/>
          <w:color w:val="0D0D0D"/>
          <w:szCs w:val="18"/>
          <w:lang w:val="en-US"/>
        </w:rPr>
        <w:t xml:space="preserve"> </w:t>
      </w:r>
      <w:r w:rsidR="0054222F">
        <w:rPr>
          <w:rFonts w:ascii="Times New Roman" w:hAnsi="Times New Roman" w:cs="Times New Roman"/>
          <w:color w:val="0D0D0D"/>
          <w:szCs w:val="18"/>
          <w:lang w:val="en-US"/>
        </w:rPr>
        <w:fldChar w:fldCharType="begin" w:fldLock="1"/>
      </w:r>
      <w:r w:rsidR="0054222F">
        <w:rPr>
          <w:rFonts w:ascii="Times New Roman" w:hAnsi="Times New Roman" w:cs="Times New Roman"/>
          <w:color w:val="0D0D0D"/>
          <w:szCs w:val="18"/>
          <w:lang w:val="en-US"/>
        </w:rPr>
        <w:instrText>ADDIN CSL_CITATION {"citationItems":[{"id":"ITEM-1","itemData":{"DOI":"10.21474/ijar01/10237","ISSN":"0888-613X","abstract":"Handwriting has a low status and profile in literacy education and in recent years has attracted little attention from teachers, policy makers or researchers into mainstream educational processes. This article identifies a substantial programme of research into handwriting, including studies located in the domains of special needs education and psychology, which suggest that it is time to re-evaluate the importance of handwriting in the teaching of literacy. Explorations of the way handwriting affects composing has opened up new avenues for research, screening and intervention, which have the potential to make a significant contribution to children’s writing progress. In particular, the role of orthographic motor integration and automaticity in handwriting is now seen as of key importance in composing. Evidence from existing studies suggests that handwriting intervention programmes may have a real impact on the composing skills of young writers. In particular, they could positively affect the progress of the many boys who struggle with writing throughout the primary school years.","author":[{"dropping-particle":"","family":"Shaturaev","given":"Jakhongir","non-dropping-particle":"","parse-names":false,"suffix":""}],"container-title":"International Journal of Advanced Research","id":"ITEM-1","issued":{"date-parts":[["2019"]]},"title":"THE IMPORTANCE OF HANDWRITING IN EDUCATION","type":"article-journal"},"uris":["http://www.mendeley.com/documents/?uuid=3d6efe96-d3a5-43f4-8c95-3fe9c52cee66"]}],"mendeley":{"formattedCitation":"(J. Shaturaev, 2019)","plainTextFormattedCitation":"(J. Shaturaev, 2019)","previouslyFormattedCitation":"(J. Shaturaev, 2019)"},"properties":{"noteIndex":0},"schema":"https://github.com/citation-style-language/schema/raw/master/csl-citation.json"}</w:instrText>
      </w:r>
      <w:r w:rsidR="0054222F">
        <w:rPr>
          <w:rFonts w:ascii="Times New Roman" w:hAnsi="Times New Roman" w:cs="Times New Roman"/>
          <w:color w:val="0D0D0D"/>
          <w:szCs w:val="18"/>
          <w:lang w:val="en-US"/>
        </w:rPr>
        <w:fldChar w:fldCharType="separate"/>
      </w:r>
      <w:r w:rsidR="0054222F" w:rsidRPr="0054222F">
        <w:rPr>
          <w:rFonts w:ascii="Times New Roman" w:hAnsi="Times New Roman" w:cs="Times New Roman"/>
          <w:noProof/>
          <w:color w:val="0D0D0D"/>
          <w:szCs w:val="18"/>
          <w:lang w:val="en-US"/>
        </w:rPr>
        <w:t>(J. Shaturaev, 2019)</w:t>
      </w:r>
      <w:r w:rsidR="0054222F">
        <w:rPr>
          <w:rFonts w:ascii="Times New Roman" w:hAnsi="Times New Roman" w:cs="Times New Roman"/>
          <w:color w:val="0D0D0D"/>
          <w:szCs w:val="18"/>
          <w:lang w:val="en-US"/>
        </w:rPr>
        <w:fldChar w:fldCharType="end"/>
      </w:r>
      <w:r w:rsidRPr="00D45F59">
        <w:rPr>
          <w:rFonts w:ascii="Times New Roman" w:hAnsi="Times New Roman" w:cs="Times New Roman"/>
          <w:color w:val="0D0D0D"/>
          <w:szCs w:val="18"/>
          <w:lang w:val="en-US"/>
        </w:rPr>
        <w:t>. After graduating from any type of secondary education, an individual can enter a higher education institution to obtain a bachelor's degree and continue study toward a master's or doctoral degree</w:t>
      </w:r>
      <w:r w:rsidR="0054222F">
        <w:rPr>
          <w:rFonts w:ascii="Times New Roman" w:hAnsi="Times New Roman" w:cs="Times New Roman"/>
          <w:color w:val="0D0D0D"/>
          <w:szCs w:val="18"/>
          <w:lang w:val="en-US"/>
        </w:rPr>
        <w:t xml:space="preserve"> </w:t>
      </w:r>
      <w:r w:rsidR="0054222F">
        <w:rPr>
          <w:rFonts w:ascii="Times New Roman" w:hAnsi="Times New Roman" w:cs="Times New Roman"/>
          <w:color w:val="0D0D0D"/>
          <w:szCs w:val="18"/>
          <w:lang w:val="en-US"/>
        </w:rPr>
        <w:fldChar w:fldCharType="begin" w:fldLock="1"/>
      </w:r>
      <w:r w:rsidR="0054222F">
        <w:rPr>
          <w:rFonts w:ascii="Times New Roman" w:hAnsi="Times New Roman" w:cs="Times New Roman"/>
          <w:color w:val="0D0D0D"/>
          <w:szCs w:val="18"/>
          <w:lang w:val="en-US"/>
        </w:rPr>
        <w:instrText>ADDIN CSL_CITATION {"citationItems":[{"id":"ITEM-1","itemData":{"author":[{"dropping-particle":"","family":"ADB","given":"Asian Development Bank","non-dropping-particle":"","parse-names":false,"suffix":""}],"id":"ITEM-1","issued":{"date-parts":[["2012"]]},"number-of-pages":"1-20","title":"ICT in education in central and west Asia: executive summary","type":"book"},"uris":["http://www.mendeley.com/documents/?uuid=2b7aacf3-add5-45ee-9a60-a006e732fb13"]}],"mendeley":{"formattedCitation":"(ADB, 2012)","plainTextFormattedCitation":"(ADB, 2012)","previouslyFormattedCitation":"(ADB, 2012)"},"properties":{"noteIndex":0},"schema":"https://github.com/citation-style-language/schema/raw/master/csl-citation.json"}</w:instrText>
      </w:r>
      <w:r w:rsidR="0054222F">
        <w:rPr>
          <w:rFonts w:ascii="Times New Roman" w:hAnsi="Times New Roman" w:cs="Times New Roman"/>
          <w:color w:val="0D0D0D"/>
          <w:szCs w:val="18"/>
          <w:lang w:val="en-US"/>
        </w:rPr>
        <w:fldChar w:fldCharType="separate"/>
      </w:r>
      <w:r w:rsidR="0054222F" w:rsidRPr="0054222F">
        <w:rPr>
          <w:rFonts w:ascii="Times New Roman" w:hAnsi="Times New Roman" w:cs="Times New Roman"/>
          <w:noProof/>
          <w:color w:val="0D0D0D"/>
          <w:szCs w:val="18"/>
          <w:lang w:val="en-US"/>
        </w:rPr>
        <w:t>(ADB, 2012)</w:t>
      </w:r>
      <w:r w:rsidR="0054222F">
        <w:rPr>
          <w:rFonts w:ascii="Times New Roman" w:hAnsi="Times New Roman" w:cs="Times New Roman"/>
          <w:color w:val="0D0D0D"/>
          <w:szCs w:val="18"/>
          <w:lang w:val="en-US"/>
        </w:rPr>
        <w:fldChar w:fldCharType="end"/>
      </w:r>
      <w:r w:rsidRPr="00D45F59">
        <w:rPr>
          <w:rFonts w:ascii="Times New Roman" w:hAnsi="Times New Roman" w:cs="Times New Roman"/>
          <w:color w:val="0D0D0D"/>
          <w:szCs w:val="18"/>
          <w:lang w:val="en-US"/>
        </w:rPr>
        <w:t xml:space="preserve">. </w:t>
      </w:r>
    </w:p>
    <w:p w:rsidR="00D45F59" w:rsidRPr="00D45F59" w:rsidRDefault="00D45F59" w:rsidP="00D45F59">
      <w:pPr>
        <w:pStyle w:val="Default"/>
        <w:spacing w:line="360" w:lineRule="auto"/>
        <w:ind w:firstLine="708"/>
        <w:jc w:val="both"/>
        <w:rPr>
          <w:rFonts w:ascii="Times New Roman" w:hAnsi="Times New Roman" w:cs="Times New Roman"/>
          <w:color w:val="0D0D0D"/>
          <w:szCs w:val="18"/>
          <w:lang w:val="en-US"/>
        </w:rPr>
      </w:pPr>
      <w:r w:rsidRPr="00D45F59">
        <w:rPr>
          <w:rFonts w:ascii="Times New Roman" w:hAnsi="Times New Roman" w:cs="Times New Roman"/>
          <w:color w:val="0D0D0D"/>
          <w:szCs w:val="18"/>
          <w:lang w:val="en-US"/>
        </w:rPr>
        <w:t xml:space="preserve">Budget constraints and other transition problems following the collapse of the Soviet Union have made it difficult to maintain and update educational buildings, equipment, texts, supplies, teaching methods, and curricula. Foreign aid for education is desperately needed but has not been sufficient to compensate for the loss of central funding. </w:t>
      </w:r>
    </w:p>
    <w:p w:rsidR="00D45F59" w:rsidRPr="00D45F59" w:rsidRDefault="00D45F59" w:rsidP="00D45F59">
      <w:pPr>
        <w:pStyle w:val="Default"/>
        <w:spacing w:line="360" w:lineRule="auto"/>
        <w:jc w:val="both"/>
        <w:rPr>
          <w:rFonts w:ascii="Times New Roman" w:hAnsi="Times New Roman" w:cs="Times New Roman"/>
          <w:color w:val="0D0D0D"/>
          <w:szCs w:val="18"/>
          <w:lang w:val="en-US"/>
        </w:rPr>
      </w:pPr>
      <w:r w:rsidRPr="00D45F59">
        <w:rPr>
          <w:rFonts w:ascii="Times New Roman" w:hAnsi="Times New Roman" w:cs="Times New Roman"/>
          <w:color w:val="0D0D0D"/>
          <w:szCs w:val="18"/>
          <w:lang w:val="en-US"/>
        </w:rPr>
        <w:t>When viewed in general, the Uzbekistan educational system includes:</w:t>
      </w:r>
    </w:p>
    <w:p w:rsidR="00D45F59" w:rsidRPr="00D45F59" w:rsidRDefault="00D45F59" w:rsidP="00D45F59">
      <w:pPr>
        <w:pStyle w:val="a4"/>
        <w:numPr>
          <w:ilvl w:val="0"/>
          <w:numId w:val="3"/>
        </w:numPr>
        <w:autoSpaceDE w:val="0"/>
        <w:autoSpaceDN w:val="0"/>
        <w:adjustRightInd w:val="0"/>
        <w:jc w:val="both"/>
        <w:rPr>
          <w:rFonts w:ascii="Times New Roman" w:hAnsi="Times New Roman"/>
          <w:color w:val="000000"/>
          <w:sz w:val="24"/>
          <w:szCs w:val="18"/>
          <w:lang w:val="en-US"/>
        </w:rPr>
      </w:pPr>
      <w:r w:rsidRPr="00D45F59">
        <w:rPr>
          <w:rFonts w:ascii="Times New Roman" w:hAnsi="Times New Roman"/>
          <w:color w:val="000000"/>
          <w:sz w:val="24"/>
          <w:szCs w:val="18"/>
          <w:lang w:val="en-US"/>
        </w:rPr>
        <w:t>Preschool training (preprimary-from three to six years old)</w:t>
      </w:r>
    </w:p>
    <w:p w:rsidR="00D45F59" w:rsidRPr="00D45F59" w:rsidRDefault="00D45F59" w:rsidP="00D45F59">
      <w:pPr>
        <w:pStyle w:val="a4"/>
        <w:numPr>
          <w:ilvl w:val="0"/>
          <w:numId w:val="3"/>
        </w:numPr>
        <w:autoSpaceDE w:val="0"/>
        <w:autoSpaceDN w:val="0"/>
        <w:adjustRightInd w:val="0"/>
        <w:jc w:val="both"/>
        <w:rPr>
          <w:rFonts w:ascii="Times New Roman" w:hAnsi="Times New Roman"/>
          <w:color w:val="0D0D0D"/>
          <w:sz w:val="24"/>
          <w:szCs w:val="18"/>
          <w:lang w:val="en-US"/>
        </w:rPr>
      </w:pPr>
      <w:r w:rsidRPr="00D45F59">
        <w:rPr>
          <w:rFonts w:ascii="Times New Roman" w:hAnsi="Times New Roman"/>
          <w:color w:val="0D0D0D"/>
          <w:sz w:val="24"/>
          <w:szCs w:val="18"/>
          <w:lang w:val="en-US"/>
        </w:rPr>
        <w:t>General secondary education (from 6 to 15 years old)</w:t>
      </w:r>
    </w:p>
    <w:p w:rsidR="00D45F59" w:rsidRPr="00D45F59" w:rsidRDefault="00D45F59" w:rsidP="00D45F59">
      <w:pPr>
        <w:pStyle w:val="a4"/>
        <w:numPr>
          <w:ilvl w:val="0"/>
          <w:numId w:val="3"/>
        </w:numPr>
        <w:autoSpaceDE w:val="0"/>
        <w:autoSpaceDN w:val="0"/>
        <w:adjustRightInd w:val="0"/>
        <w:jc w:val="both"/>
        <w:rPr>
          <w:rFonts w:ascii="Times New Roman" w:hAnsi="Times New Roman"/>
          <w:color w:val="0D0D0D"/>
          <w:sz w:val="24"/>
          <w:szCs w:val="18"/>
          <w:lang w:val="en-US"/>
        </w:rPr>
      </w:pPr>
      <w:r w:rsidRPr="00D45F59">
        <w:rPr>
          <w:rFonts w:ascii="Times New Roman" w:hAnsi="Times New Roman"/>
          <w:color w:val="0D0D0D"/>
          <w:sz w:val="24"/>
          <w:szCs w:val="18"/>
          <w:lang w:val="en-US"/>
        </w:rPr>
        <w:t>Secondary vocational education (from 15 to 18 years old)</w:t>
      </w:r>
    </w:p>
    <w:p w:rsidR="00D45F59" w:rsidRPr="00D45F59" w:rsidRDefault="00D45F59" w:rsidP="00D45F59">
      <w:pPr>
        <w:pStyle w:val="a4"/>
        <w:numPr>
          <w:ilvl w:val="0"/>
          <w:numId w:val="3"/>
        </w:numPr>
        <w:autoSpaceDE w:val="0"/>
        <w:autoSpaceDN w:val="0"/>
        <w:adjustRightInd w:val="0"/>
        <w:jc w:val="both"/>
        <w:rPr>
          <w:rFonts w:ascii="Times New Roman" w:hAnsi="Times New Roman"/>
          <w:color w:val="0D0D0D"/>
          <w:sz w:val="24"/>
          <w:szCs w:val="18"/>
          <w:lang w:val="en-US"/>
        </w:rPr>
      </w:pPr>
      <w:r w:rsidRPr="00D45F59">
        <w:rPr>
          <w:rFonts w:ascii="Times New Roman" w:hAnsi="Times New Roman"/>
          <w:color w:val="0D0D0D"/>
          <w:sz w:val="24"/>
          <w:szCs w:val="18"/>
          <w:lang w:val="en-US"/>
        </w:rPr>
        <w:t>Higher education (undergraduate and graduate-from 18 years old).</w:t>
      </w:r>
    </w:p>
    <w:p w:rsidR="00D45F59" w:rsidRPr="00D45F59" w:rsidRDefault="00D45F59" w:rsidP="00FA7906">
      <w:pPr>
        <w:autoSpaceDE w:val="0"/>
        <w:autoSpaceDN w:val="0"/>
        <w:adjustRightInd w:val="0"/>
        <w:spacing w:before="240" w:after="0" w:line="360" w:lineRule="auto"/>
        <w:ind w:firstLine="360"/>
        <w:jc w:val="both"/>
        <w:rPr>
          <w:rFonts w:ascii="Times New Roman" w:hAnsi="Times New Roman" w:cs="Times New Roman"/>
          <w:color w:val="0D0D0D"/>
          <w:sz w:val="24"/>
          <w:szCs w:val="18"/>
          <w:lang w:val="en-US"/>
        </w:rPr>
      </w:pPr>
      <w:r w:rsidRPr="00D45F59">
        <w:rPr>
          <w:rFonts w:ascii="Times New Roman" w:hAnsi="Times New Roman" w:cs="Times New Roman"/>
          <w:color w:val="0D0D0D"/>
          <w:sz w:val="24"/>
          <w:szCs w:val="18"/>
          <w:lang w:val="en-US"/>
        </w:rPr>
        <w:t>Girls and boys are legally considered equal and study in the same classes and schools. Schools are open to all ethnic groups, and minorities in schools are rarely an issue. The academic year begins on 2 September (the first of September is Independence Day) or the first working day of September</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{"citationItems":[{"id":"ITEM-1","itemData":{"DOI":"10.1016/j.childyouth.2012.01.006","ISSN":"01907409","abstract":"Drawing on a set of recent nationally-representative surveys, this study examines Early Childhood Care and Education attendance in Central Asia. Between 12% and 22% of children attended ECCE, while the number of attendance hours was irregular and varied greatly. Having a mother with lower education and being from a poorer household reduced the likelihood of attendance in all countries. Living in a rural area reduced the likelihood of attendance in all countries except Kazakhstan. Other factors associated with lower likelihood of attendance varied across countries and included having an additional child under 5 in the household, an increase in child age, and residing in a non-Russian speaking household. In terms of frequency of attendance, living in capital cities was associated with an increase in attendance frequency in Kazakhstan and Kyrgyzstan, while residing in a wealthier household was associated with an increase in frequency in Tajikistan and Kyrgyzstan. Measures to improve ECCE attendance are discussed. © 2012 Elsevier Ltd.","author":[{"dropping-particle":"","family":"Habibov","given":"Nazim","non-dropping-particle":"","parse-names":false,"suffix":""}],"container-title":"Children and Youth Services Review","id":"ITEM-1","issued":{"date-parts":[["2012"]]},"title":"Early childhood care and education attendance in Central Asia","type":"article-journal"},"uris":["http://www.mendeley.com/documents/?uuid=15397eb0-f9fe-49db-a0f4-5f1214236e33"]}],"mendeley":{"formattedCitation":"(Habibov, 2012)","plainTextFormattedCitation":"(Habibov, 2012)","previouslyFormattedCitation":"(Habibov, 2012)"},"properties":{"noteIndex":0},"schema":"https://github.com/citation-style-language/schema/raw/master/csl-citation.json"}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(Habibov, 2012)</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 The academic year ends in June for secondary schools and in July for higher education. Russian was a common language for over 100 nationalities living in the Soviet Union and played the same role as English for the United States</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{"citationItems":[{"id":"ITEM-1","itemData":{"DOI":"10.31838/jcr.07.05.173","ISSN":"23945125","abstract":"In the article, the authors investigated the system of preschool and school, secondary special education of the Republic of Uzbekistan. The authors consider the issues of educational reform in the context of deepening democratic reforms in the context of the development of civil society in the country. The article explores current issues of improving the work of educational institutions. An attempt has been made to study the current state of preschool institutions, secondary schools and the most important strategic tasks facing it, which directly affect the methods, content, and also the creation of an intellectual environment for the student. Based on scientific analysis and a critical assessment of the state of the education system, the most relevant trends in its development are considered as an important factor in the upbringing of a harmoniously young generation in the development of civil society.","author":[{"dropping-particle":"","family":"Hakimov","given":"Nazar Hakimovich","non-dropping-particle":"","parse-names":false,"suffix":""},{"dropping-particle":"","family":"Ruziyeva","given":"Rukhsora Khodiyevna","non-dropping-particle":"","parse-names":false,"suffix":""},{"dropping-particle":"","family":"Muhammadiyeva","given":"Oynisa Mustafakulovna","non-dropping-particle":"","parse-names":false,"suffix":""},{"dropping-particle":"","family":"Allayarova","given":"Solikha Narzulloevna","non-dropping-particle":"","parse-names":false,"suffix":""}],"container-title":"Journal of Critical Reviews","id":"ITEM-1","issued":{"date-parts":[["2020"]]},"title":"Education system mission in the conditions of civil society development","type":"article"},"uris":["http://www.mendeley.com/documents/?uuid=dcba1315-d4f9-4549-a6a5-c37e7de6092d"]}],"mendeley":{"formattedCitation":"(Hakimov et al., 2020)","plainTextFormattedCitation":"(Hakimov et al., 2020)","previouslyFormattedCitation":"(Hakimov et al., 2020)"},"properties":{"noteIndex":0},"schema":"https://github.com/citation-style-language/schema/raw/master/csl-citation.json"}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(Hakimov et al., 2020)</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 It was also the Lingua Franca of the socialist world that included Bulgaria, Poland, Mongolia, and other European and Asian countries. Without Russian as a common language, Uzbeks (and other ethnic groups) would have to learn Ukrainian, Belorussian, Moldavian, Armenian, and many other languages to communicate with the multinational population of the Soviet Union</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{"citationItems":[{"id":"ITEM-1","itemData":{"author":[{"dropping-particle":"","family":"World Bank Group","given":"","non-dropping-particle":"","parse-names":false,"suffix":""}],"container-title":"Uzbekistan","id":"ITEM-1","issued":{"date-parts":[["2018"]]},"number-of-pages":"119","publisher-place":"Washington DC","title":"Uzbekistan: Education Sector Analysis Final Report","type":"report"},"uris":["http://www.mendeley.com/documents/?uuid=3674a0b0-dd48-4dd1-87a8-e4b9a3b988f1"]}],"mendeley":{"formattedCitation":"(World Bank Group, 2018)","plainTextFormattedCitation":"(World Bank Group, 2018)","previouslyFormattedCitation":"(World Bank Group, 2018)"},"properties":{"noteIndex":0},"schema":"https://github.com/citation-style-language/schema/raw/master/csl-citation.json"}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(World Bank Group, 2018)</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 Therefore, until 1991, Uzbeks preferred schools with instruction in Russian for their children. To not do so would have put them at a great disadvantage socially. After Uzbekistan gained its independence, Uzbek (not Russian) became the official language of instruction. In 1998-1999, some 76.8 percent of pupils at day schools were educated in Uzbek</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{"citationItems":[{"id":"ITEM-1","itemData":{"author":[{"dropping-particle":"","family":"ADB","given":"Asian Development Bank","non-dropping-particle":"","parse-names":false,"suffix":""}],"id":"ITEM-1","issued":{"date-parts":[["2012"]]},"number-of-pages":"1-20","title":"ICT in education in central and west Asia: executive summary","type":"book"},"uris":["http://www.mendeley.com/documents/?uuid=2b7aacf3-add5-45ee-9a60-a006e732fb13"]}],"mendeley":{"formattedCitation":"(ADB, 2012)","plainTextFormattedCitation":"(ADB, 2012)","previouslyFormattedCitation":"(ADB, 2012)"},"properties":{"noteIndex":0},"schema":"https://github.com/citation-style-language/schema/raw/master/csl-citation.json"}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(ADB, 2012)</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w:t>
      </w:r>
    </w:p>
    <w:p w:rsidR="00D45F59" w:rsidRPr="00D45F59" w:rsidRDefault="00D45F59" w:rsidP="00D45F59">
      <w:pPr>
        <w:spacing w:before="240" w:after="0" w:line="360" w:lineRule="auto"/>
        <w:jc w:val="both"/>
        <w:rPr>
          <w:rFonts w:ascii="Times New Roman" w:hAnsi="Times New Roman" w:cs="Times New Roman"/>
          <w:b/>
          <w:color w:val="000000"/>
          <w:sz w:val="24"/>
          <w:szCs w:val="18"/>
          <w:lang w:val="en-US"/>
        </w:rPr>
      </w:pPr>
      <w:r w:rsidRPr="00D45F59">
        <w:rPr>
          <w:rFonts w:ascii="Times New Roman" w:hAnsi="Times New Roman" w:cs="Times New Roman"/>
          <w:b/>
          <w:color w:val="000000"/>
          <w:sz w:val="24"/>
          <w:szCs w:val="18"/>
          <w:lang w:val="en-US"/>
        </w:rPr>
        <w:t>Education System in Uzbekistan</w:t>
      </w:r>
    </w:p>
    <w:p w:rsidR="00D45F59" w:rsidRPr="00D45F59" w:rsidRDefault="00D45F59" w:rsidP="00D45F59">
      <w:pPr>
        <w:spacing w:after="0" w:line="360" w:lineRule="auto"/>
        <w:jc w:val="both"/>
        <w:rPr>
          <w:rFonts w:ascii="Times New Roman" w:hAnsi="Times New Roman" w:cs="Times New Roman"/>
          <w:color w:val="0D0D0D"/>
          <w:sz w:val="24"/>
          <w:szCs w:val="18"/>
          <w:lang w:val="en-US"/>
        </w:rPr>
      </w:pPr>
      <w:r w:rsidRPr="00D45F59">
        <w:rPr>
          <w:rFonts w:ascii="Times New Roman" w:hAnsi="Times New Roman" w:cs="Times New Roman"/>
          <w:color w:val="0D0D0D"/>
          <w:sz w:val="24"/>
          <w:szCs w:val="18"/>
          <w:lang w:val="en-US"/>
        </w:rPr>
        <w:t xml:space="preserve">Examinations in the educational system of Uzbekistan are primarily oral. Universities, institutes, and some colleges still have entrance exams. Course exams occur only at the end of the course </w:t>
      </w:r>
      <w:r w:rsidRPr="00D45F59">
        <w:rPr>
          <w:rFonts w:ascii="Times New Roman" w:hAnsi="Times New Roman" w:cs="Times New Roman"/>
          <w:color w:val="0D0D0D"/>
          <w:sz w:val="24"/>
          <w:szCs w:val="18"/>
          <w:lang w:val="en-US"/>
        </w:rPr>
        <w:lastRenderedPageBreak/>
        <w:t>(semester). State exams are taken at higher education institutions after all coursework. The grading system of Uzbekistan is numerical. The highest grade is 5 (excellent = A), then follows 4 (good = B), 3 (satisfactory = C), and 2(unsatisfactory = F). One is never used. Final grades are determined by test scores, papers, attendance, and class participation. Because compulsory education is freely provided to all children of Uzbekistan, private schools have a difficult time justifying their existence. In fact, they were banned in 1993</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{"citationItems":[{"id":"ITEM-1","itemData":{"author":[{"dropping-particle":"","family":"The World Bank","given":"","non-dropping-particle":"","parse-names":false,"suffix":""}],"id":"ITEM-1","issue":"May","issued":{"date-parts":[["2015"]]},"title":"IFC MOBILE MONEY SCOPING - COUNTRY REPORT: UZBEKISTAN","type":"report"},"uris":["http://www.mendeley.com/documents/?uuid=6bd5127d-355d-40c0-99b9-e92f2fbdab33"]}],"mendeley":{"formattedCitation":"(The World Bank, 2015)","plainTextFormattedCitation":"(The World Bank, 2015)","previouslyFormattedCitation":"(The World Bank, 2015)"},"properties":{"noteIndex":0},"schema":"https://github.com/citation-style-language/schema/raw/master/csl-citation.json"}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(The World Bank, 2015)</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 xml:space="preserve">. Also, since Uzbekistan Law declares the separation of education from religion, there are no religious schools. However, in1999, the establishment of the Tashkent Islamic University was allowed. Computer technology, thanks to international assistance, is being introduced to educational institutions and training centers. In 1994, the Central Asian Telecommunications Training Center (CATTC) was established in Uzbekistan under the </w:t>
      </w:r>
      <w:proofErr w:type="spellStart"/>
      <w:r w:rsidRPr="00D45F59">
        <w:rPr>
          <w:rFonts w:ascii="Times New Roman" w:hAnsi="Times New Roman" w:cs="Times New Roman"/>
          <w:color w:val="0D0D0D"/>
          <w:sz w:val="24"/>
          <w:szCs w:val="18"/>
          <w:lang w:val="en-US"/>
        </w:rPr>
        <w:t>Tacis</w:t>
      </w:r>
      <w:proofErr w:type="spellEnd"/>
      <w:r w:rsidRPr="00D45F59">
        <w:rPr>
          <w:rFonts w:ascii="Times New Roman" w:hAnsi="Times New Roman" w:cs="Times New Roman"/>
          <w:color w:val="0D0D0D"/>
          <w:sz w:val="24"/>
          <w:szCs w:val="18"/>
          <w:lang w:val="en-US"/>
        </w:rPr>
        <w:t xml:space="preserve"> Program of the European Commission. Training at the CATTC is provided using modern teaching aids, active methods, and individual and group methods by specialists and experts in different fields. The Computer Center at the University of Samarkand provides computer service to departments and research units and collaborates with other institutions and the private sector to run short training courses. At the secondary school level, computers are still rare</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{"citationItems":[{"id":"ITEM-1","itemData":{"author":[{"dropping-particle":"","family":"World Bank Group","given":"","non-dropping-particle":"","parse-names":false,"suffix":""}],"container-title":"Uzbekistan","id":"ITEM-1","issued":{"date-parts":[["2018"]]},"number-of-pages":"119","publisher-place":"Washington DC","title":"Uzbekistan: Education Sector Analysis Final Report","type":"report"},"uris":["http://www.mendeley.com/documents/?uuid=3674a0b0-dd48-4dd1-87a8-e4b9a3b988f1"]}],"mendeley":{"formattedCitation":"(World Bank Group, 2018)","plainTextFormattedCitation":"(World Bank Group, 2018)","previouslyFormattedCitation":"(World Bank Group, 2018)"},"properties":{"noteIndex":0},"schema":"https://github.com/citation-style-language/schema/raw/master/csl-citation.json"}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(World Bank Group, 2018)</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 xml:space="preserve">. </w:t>
      </w:r>
    </w:p>
    <w:p w:rsidR="00D45F59" w:rsidRPr="00D45F59" w:rsidRDefault="00D45F59" w:rsidP="00D45F59">
      <w:pPr>
        <w:autoSpaceDE w:val="0"/>
        <w:autoSpaceDN w:val="0"/>
        <w:adjustRightInd w:val="0"/>
        <w:spacing w:before="240" w:after="0" w:line="360" w:lineRule="auto"/>
        <w:ind w:left="2124" w:firstLine="708"/>
        <w:jc w:val="center"/>
        <w:rPr>
          <w:rFonts w:ascii="Times New Roman" w:hAnsi="Times New Roman" w:cs="Times New Roman"/>
          <w:i/>
          <w:color w:val="0D0D0D"/>
          <w:sz w:val="24"/>
          <w:szCs w:val="18"/>
          <w:lang w:val="en-US"/>
        </w:rPr>
      </w:pPr>
      <w:r w:rsidRPr="00D45F59">
        <w:rPr>
          <w:rFonts w:ascii="Times New Roman" w:hAnsi="Times New Roman" w:cs="Times New Roman"/>
          <w:b/>
          <w:noProof/>
          <w:sz w:val="32"/>
          <w:lang w:eastAsia="ru-RU"/>
        </w:rPr>
        <w:drawing>
          <wp:anchor distT="0" distB="0" distL="114300" distR="114300" simplePos="0" relativeHeight="251660288" behindDoc="1" locked="0" layoutInCell="1" allowOverlap="1">
            <wp:simplePos x="0" y="0"/>
            <wp:positionH relativeFrom="column">
              <wp:posOffset>8890</wp:posOffset>
            </wp:positionH>
            <wp:positionV relativeFrom="paragraph">
              <wp:posOffset>417741</wp:posOffset>
            </wp:positionV>
            <wp:extent cx="5939790" cy="1951355"/>
            <wp:effectExtent l="0" t="0" r="3810" b="0"/>
            <wp:wrapTight wrapText="bothSides">
              <wp:wrapPolygon edited="0">
                <wp:start x="0" y="0"/>
                <wp:lineTo x="0" y="21298"/>
                <wp:lineTo x="21545" y="21298"/>
                <wp:lineTo x="2154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5F59">
        <w:rPr>
          <w:rFonts w:ascii="Times New Roman" w:hAnsi="Times New Roman" w:cs="Times New Roman"/>
          <w:b/>
          <w:color w:val="0D0D0D"/>
          <w:sz w:val="24"/>
          <w:szCs w:val="18"/>
          <w:lang w:val="en-US"/>
        </w:rPr>
        <w:t>Structure of Educat</w:t>
      </w:r>
      <w:r>
        <w:rPr>
          <w:rFonts w:ascii="Times New Roman" w:hAnsi="Times New Roman" w:cs="Times New Roman"/>
          <w:b/>
          <w:color w:val="0D0D0D"/>
          <w:sz w:val="24"/>
          <w:szCs w:val="18"/>
          <w:lang w:val="en-US"/>
        </w:rPr>
        <w:t>i</w:t>
      </w:r>
      <w:r w:rsidRPr="00D45F59">
        <w:rPr>
          <w:rFonts w:ascii="Times New Roman" w:hAnsi="Times New Roman" w:cs="Times New Roman"/>
          <w:b/>
          <w:color w:val="0D0D0D"/>
          <w:sz w:val="24"/>
          <w:szCs w:val="18"/>
          <w:lang w:val="en-US"/>
        </w:rPr>
        <w:t>on in Uzbekistan</w:t>
      </w:r>
      <w:r>
        <w:rPr>
          <w:rFonts w:ascii="Times New Roman" w:hAnsi="Times New Roman" w:cs="Times New Roman"/>
          <w:b/>
          <w:color w:val="0D0D0D"/>
          <w:sz w:val="24"/>
          <w:szCs w:val="18"/>
          <w:lang w:val="en-US"/>
        </w:rPr>
        <w:t xml:space="preserve"> </w:t>
      </w:r>
      <w:r>
        <w:rPr>
          <w:rFonts w:ascii="Times New Roman" w:hAnsi="Times New Roman" w:cs="Times New Roman"/>
          <w:b/>
          <w:color w:val="0D0D0D"/>
          <w:sz w:val="24"/>
          <w:szCs w:val="18"/>
          <w:lang w:val="en-US"/>
        </w:rPr>
        <w:tab/>
      </w:r>
      <w:r>
        <w:rPr>
          <w:rFonts w:ascii="Times New Roman" w:hAnsi="Times New Roman" w:cs="Times New Roman"/>
          <w:b/>
          <w:color w:val="0D0D0D"/>
          <w:sz w:val="24"/>
          <w:szCs w:val="18"/>
          <w:lang w:val="en-US"/>
        </w:rPr>
        <w:tab/>
      </w:r>
      <w:r>
        <w:rPr>
          <w:rFonts w:ascii="Times New Roman" w:hAnsi="Times New Roman" w:cs="Times New Roman"/>
          <w:b/>
          <w:color w:val="0D0D0D"/>
          <w:sz w:val="24"/>
          <w:szCs w:val="18"/>
          <w:lang w:val="en-US"/>
        </w:rPr>
        <w:tab/>
      </w:r>
      <w:r>
        <w:rPr>
          <w:rFonts w:ascii="Times New Roman" w:hAnsi="Times New Roman" w:cs="Times New Roman"/>
          <w:i/>
          <w:color w:val="0D0D0D"/>
          <w:sz w:val="24"/>
          <w:szCs w:val="18"/>
          <w:lang w:val="en-US"/>
        </w:rPr>
        <w:t>Table 4</w:t>
      </w:r>
    </w:p>
    <w:p w:rsidR="00D45F59" w:rsidRPr="00D45F59" w:rsidRDefault="00D45F59" w:rsidP="00D45F59">
      <w:pPr>
        <w:autoSpaceDE w:val="0"/>
        <w:autoSpaceDN w:val="0"/>
        <w:adjustRightInd w:val="0"/>
        <w:spacing w:before="240" w:after="0" w:line="360" w:lineRule="auto"/>
        <w:ind w:firstLine="708"/>
        <w:jc w:val="both"/>
        <w:rPr>
          <w:rFonts w:ascii="Times New Roman" w:hAnsi="Times New Roman" w:cs="Times New Roman"/>
          <w:color w:val="0D0D0D"/>
          <w:sz w:val="24"/>
          <w:szCs w:val="18"/>
          <w:lang w:val="en-US"/>
        </w:rPr>
      </w:pPr>
      <w:r w:rsidRPr="00D45F59">
        <w:rPr>
          <w:rFonts w:ascii="Times New Roman" w:hAnsi="Times New Roman" w:cs="Times New Roman"/>
          <w:color w:val="0D0D0D"/>
          <w:sz w:val="24"/>
          <w:szCs w:val="18"/>
          <w:lang w:val="en-US"/>
        </w:rPr>
        <w:t xml:space="preserve">As a result of the decline in funding, the printing of books, textbooks, and other publications faces numerous difficulties. This problem is common for all NIS countries. Nevertheless, despite obvious difficulties, according to UNESCO, Uzbekistan schools supplied about 60 percent of textbooks as a whole and for some selected subjects up to 100 percent. Publishing houses produced about 149 million copies of over 1700 various titles. From 1992to 1997, some 174 textbooks with over 53,000 copies were published, including 138 originals, 19 translated, 8 parallel in 2 languages, and 9experimental textbooks. About 170 various tutorials and educational literature in 7 languages are published. Audiovisual materials are usually manually </w:t>
      </w:r>
      <w:r w:rsidRPr="00D45F59">
        <w:rPr>
          <w:rFonts w:ascii="Times New Roman" w:hAnsi="Times New Roman" w:cs="Times New Roman"/>
          <w:color w:val="0D0D0D"/>
          <w:sz w:val="24"/>
          <w:szCs w:val="18"/>
          <w:lang w:val="en-US"/>
        </w:rPr>
        <w:lastRenderedPageBreak/>
        <w:t>prepared by teachers. With the high price of copying and low salaries, teachers and professors must be creative</w:t>
      </w:r>
      <w:r w:rsidR="0054222F">
        <w:rPr>
          <w:rFonts w:ascii="Times New Roman" w:hAnsi="Times New Roman" w:cs="Times New Roman"/>
          <w:color w:val="0D0D0D"/>
          <w:sz w:val="24"/>
          <w:szCs w:val="18"/>
          <w:lang w:val="en-US"/>
        </w:rPr>
        <w:t xml:space="preserve"> </w:t>
      </w:r>
      <w:r w:rsidR="0054222F">
        <w:rPr>
          <w:rFonts w:ascii="Times New Roman" w:hAnsi="Times New Roman" w:cs="Times New Roman"/>
          <w:color w:val="0D0D0D"/>
          <w:sz w:val="24"/>
          <w:szCs w:val="18"/>
          <w:lang w:val="en-US"/>
        </w:rPr>
        <w:fldChar w:fldCharType="begin" w:fldLock="1"/>
      </w:r>
      <w:r w:rsidR="0054222F">
        <w:rPr>
          <w:rFonts w:ascii="Times New Roman" w:hAnsi="Times New Roman" w:cs="Times New Roman"/>
          <w:color w:val="0D0D0D"/>
          <w:sz w:val="24"/>
          <w:szCs w:val="18"/>
          <w:lang w:val="en-US"/>
        </w:rPr>
        <w:instrText>ADDIN CSL_CITATION {"citationItems":[{"id":"ITEM-1","itemData":{"author":[{"dropping-particle":"","family":"ADB","given":"","non-dropping-particle":"","parse-names":false,"suffix":""}],"id":"ITEM-1","issue":"September","issued":{"date-parts":[["2010"]]},"title":"Uzbekistan : Education","type":"report"},"uris":["http://www.mendeley.com/documents/?uuid=acb63b1c-7a28-4add-b023-053805ecb3df"]}],"mendeley":{"formattedCitation":"(ADB, 2010)","plainTextFormattedCitation":"(ADB, 2010)","previouslyFormattedCitation":"(ADB, 2010)"},"properties":{"noteIndex":0},"schema":"https://github.com/citation-style-language/schema/raw/master/csl-citation.json"}</w:instrText>
      </w:r>
      <w:r w:rsidR="0054222F">
        <w:rPr>
          <w:rFonts w:ascii="Times New Roman" w:hAnsi="Times New Roman" w:cs="Times New Roman"/>
          <w:color w:val="0D0D0D"/>
          <w:sz w:val="24"/>
          <w:szCs w:val="18"/>
          <w:lang w:val="en-US"/>
        </w:rPr>
        <w:fldChar w:fldCharType="separate"/>
      </w:r>
      <w:r w:rsidR="0054222F" w:rsidRPr="0054222F">
        <w:rPr>
          <w:rFonts w:ascii="Times New Roman" w:hAnsi="Times New Roman" w:cs="Times New Roman"/>
          <w:noProof/>
          <w:color w:val="0D0D0D"/>
          <w:sz w:val="24"/>
          <w:szCs w:val="18"/>
          <w:lang w:val="en-US"/>
        </w:rPr>
        <w:t>(ADB, 2010)</w:t>
      </w:r>
      <w:r w:rsidR="0054222F">
        <w:rPr>
          <w:rFonts w:ascii="Times New Roman" w:hAnsi="Times New Roman" w:cs="Times New Roman"/>
          <w:color w:val="0D0D0D"/>
          <w:sz w:val="24"/>
          <w:szCs w:val="18"/>
          <w:lang w:val="en-US"/>
        </w:rPr>
        <w:fldChar w:fldCharType="end"/>
      </w:r>
      <w:r w:rsidRPr="00D45F59">
        <w:rPr>
          <w:rFonts w:ascii="Times New Roman" w:hAnsi="Times New Roman" w:cs="Times New Roman"/>
          <w:color w:val="0D0D0D"/>
          <w:sz w:val="24"/>
          <w:szCs w:val="18"/>
          <w:lang w:val="en-US"/>
        </w:rPr>
        <w:t>.</w:t>
      </w:r>
    </w:p>
    <w:p w:rsidR="00D45F59" w:rsidRPr="00D45F59" w:rsidRDefault="00D45F59" w:rsidP="00D45F59">
      <w:pPr>
        <w:pStyle w:val="Default"/>
        <w:spacing w:line="360" w:lineRule="auto"/>
        <w:ind w:firstLine="708"/>
        <w:jc w:val="both"/>
        <w:rPr>
          <w:rFonts w:ascii="Times New Roman" w:hAnsi="Times New Roman" w:cs="Times New Roman"/>
          <w:color w:val="0D0D0D"/>
          <w:lang w:val="en-US"/>
        </w:rPr>
      </w:pPr>
      <w:r w:rsidRPr="00D45F59">
        <w:rPr>
          <w:rFonts w:ascii="Times New Roman" w:hAnsi="Times New Roman" w:cs="Times New Roman"/>
          <w:color w:val="0D0D0D"/>
          <w:lang w:val="en-US"/>
        </w:rPr>
        <w:t>In the Soviet-type higher education institution, most students studied for a full working week (five to six days a week, six to eight hours of classes a day). Evening and correspondence courses were also popular. The first and the second year of the curriculum usually included the study of social science with similar course requirements for all students. Specialization began in the third year and continued in the fourth year</w:t>
      </w:r>
      <w:r w:rsidR="0054222F">
        <w:rPr>
          <w:rFonts w:ascii="Times New Roman" w:hAnsi="Times New Roman" w:cs="Times New Roman"/>
          <w:color w:val="0D0D0D"/>
          <w:lang w:val="en-US"/>
        </w:rPr>
        <w:t xml:space="preserve"> </w:t>
      </w:r>
      <w:r w:rsidR="0054222F">
        <w:rPr>
          <w:rFonts w:ascii="Times New Roman" w:hAnsi="Times New Roman" w:cs="Times New Roman"/>
          <w:color w:val="0D0D0D"/>
          <w:lang w:val="en-US"/>
        </w:rPr>
        <w:fldChar w:fldCharType="begin" w:fldLock="1"/>
      </w:r>
      <w:r w:rsidR="0054222F">
        <w:rPr>
          <w:rFonts w:ascii="Times New Roman" w:hAnsi="Times New Roman" w:cs="Times New Roman"/>
          <w:color w:val="0D0D0D"/>
          <w:lang w:val="en-US"/>
        </w:rPr>
        <w:instrText>ADDIN CSL_CITATION {"citationItems":[{"id":"ITEM-1","itemData":{"DOI":"10.1596/33371","author":[{"dropping-particle":"V.","family":"Izvorski","given":"Ivailo","non-dropping-particle":"","parse-names":false,"suffix":""},{"dropping-particle":"","family":"Trushin","given":"Eskender","non-dropping-particle":"","parse-names":false,"suffix":""},{"dropping-particle":"","family":"Appiah-Koranteng","given":"Alex","non-dropping-particle":"","parse-names":false,"suffix":""},{"dropping-particle":"","family":"Varoudakis","given":"Aristomene","non-dropping-particle":"","parse-names":false,"suffix":""},{"dropping-particle":"","family":"Islam","given":"Roumeen","non-dropping-particle":"","parse-names":false,"suffix":""},{"dropping-particle":"","family":"Safarov","given":"Maksudjon","non-dropping-particle":"","parse-names":false,"suffix":""},{"dropping-particle":"","family":"Lord","given":"David","non-dropping-particle":"","parse-names":false,"suffix":""},{"dropping-particle":"","family":"Motohashi","given":"Mitsunori","non-dropping-particle":"","parse-names":false,"suffix":""},{"dropping-particle":"","family":"Ihsan","given":"Ahya","non-dropping-particle":"","parse-names":false,"suffix":""},{"dropping-particle":"","family":"Zorya","given":"Sergiy","non-dropping-particle":"","parse-names":false,"suffix":""},{"dropping-particle":"","family":"Hawkesworth","given":"Ian","non-dropping-particle":"","parse-names":false,"suffix":""},{"dropping-particle":"","family":"Philipsen","given":"Ferry","non-dropping-particle":"","parse-names":false,"suffix":""},{"dropping-particle":"","family":"James","given":"Sebastian","non-dropping-particle":"","parse-names":false,"suffix":""},{"dropping-particle":"","family":"Anadolu","given":"Elvira","non-dropping-particle":"","parse-names":false,"suffix":""},{"dropping-particle":"","family":"Teixeira","given":"Janssen","non-dropping-particle":"","parse-names":false,"suffix":""},{"dropping-particle":"","family":"Karakulah","given":"Kenan","non-dropping-particle":"","parse-names":false,"suffix":""}],"container-title":"Uzbekistan Public Expenditure Review","id":"ITEM-1","issued":{"date-parts":[["2019"]]},"title":"Uzbekistan Public Expenditure Review","type":"book"},"uris":["http://www.mendeley.com/documents/?uuid=dcaa9169-dca1-4774-8c17-4086c2cccd8d"]}],"mendeley":{"formattedCitation":"(Izvorski et al., 2019)","plainTextFormattedCitation":"(Izvorski et al., 2019)","previouslyFormattedCitation":"(Izvorski et al., 2019)"},"properties":{"noteIndex":0},"schema":"https://github.com/citation-style-language/schema/raw/master/csl-citation.json"}</w:instrText>
      </w:r>
      <w:r w:rsidR="0054222F">
        <w:rPr>
          <w:rFonts w:ascii="Times New Roman" w:hAnsi="Times New Roman" w:cs="Times New Roman"/>
          <w:color w:val="0D0D0D"/>
          <w:lang w:val="en-US"/>
        </w:rPr>
        <w:fldChar w:fldCharType="separate"/>
      </w:r>
      <w:r w:rsidR="0054222F" w:rsidRPr="0054222F">
        <w:rPr>
          <w:rFonts w:ascii="Times New Roman" w:hAnsi="Times New Roman" w:cs="Times New Roman"/>
          <w:noProof/>
          <w:color w:val="0D0D0D"/>
          <w:lang w:val="en-US"/>
        </w:rPr>
        <w:t>(Izvorski et al., 2019)</w:t>
      </w:r>
      <w:r w:rsidR="0054222F">
        <w:rPr>
          <w:rFonts w:ascii="Times New Roman" w:hAnsi="Times New Roman" w:cs="Times New Roman"/>
          <w:color w:val="0D0D0D"/>
          <w:lang w:val="en-US"/>
        </w:rPr>
        <w:fldChar w:fldCharType="end"/>
      </w:r>
      <w:r w:rsidRPr="00D45F59">
        <w:rPr>
          <w:rFonts w:ascii="Times New Roman" w:hAnsi="Times New Roman" w:cs="Times New Roman"/>
          <w:color w:val="0D0D0D"/>
          <w:lang w:val="en-US"/>
        </w:rPr>
        <w:t>. Within this period a student had between 4,500 and 5,000 face-to-face hours of instruction in 20 to 30 subjects, depending on the field of concentration. The curriculum included general subjects like philosophy and economy, specialized subjects determined by the chosen profession, and very specific courses depending on the deeper specialization. The curriculum was very rigid and equal for all students. There were no choices. In the modern system of higher-education institutions, the curriculum is certainly less rigid. However, the authorization of the curriculum is still the responsibility of a ministry, not a particular institution</w:t>
      </w:r>
      <w:r w:rsidR="0054222F">
        <w:rPr>
          <w:rFonts w:ascii="Times New Roman" w:hAnsi="Times New Roman" w:cs="Times New Roman"/>
          <w:color w:val="0D0D0D"/>
          <w:lang w:val="en-US"/>
        </w:rPr>
        <w:t xml:space="preserve"> </w:t>
      </w:r>
      <w:r w:rsidR="0054222F">
        <w:rPr>
          <w:rFonts w:ascii="Times New Roman" w:hAnsi="Times New Roman" w:cs="Times New Roman"/>
          <w:color w:val="0D0D0D"/>
          <w:lang w:val="en-US"/>
        </w:rPr>
        <w:fldChar w:fldCharType="begin" w:fldLock="1"/>
      </w:r>
      <w:r w:rsidR="0054222F">
        <w:rPr>
          <w:rFonts w:ascii="Times New Roman" w:hAnsi="Times New Roman" w:cs="Times New Roman"/>
          <w:color w:val="0D0D0D"/>
          <w:lang w:val="en-US"/>
        </w:rPr>
        <w:instrText>ADDIN CSL_CITATION {"citationItems":[{"id":"ITEM-1","itemData":{"author":[{"dropping-particle":"","family":"World Education Forum","given":"","non-dropping-particle":"","parse-names":false,"suffix":""}],"id":"ITEM-1","issued":{"date-parts":[["2015"]]},"title":"Uzbekistan Education for All 2015 National Review","type":"book"},"uris":["http://www.mendeley.com/documents/?uuid=368c9a3a-8687-4a4e-98b8-9b1d195e119a"]}],"mendeley":{"formattedCitation":"(World Education Forum, 2015)","plainTextFormattedCitation":"(World Education Forum, 2015)","previouslyFormattedCitation":"(World Education Forum, 2015)"},"properties":{"noteIndex":0},"schema":"https://github.com/citation-style-language/schema/raw/master/csl-citation.json"}</w:instrText>
      </w:r>
      <w:r w:rsidR="0054222F">
        <w:rPr>
          <w:rFonts w:ascii="Times New Roman" w:hAnsi="Times New Roman" w:cs="Times New Roman"/>
          <w:color w:val="0D0D0D"/>
          <w:lang w:val="en-US"/>
        </w:rPr>
        <w:fldChar w:fldCharType="separate"/>
      </w:r>
      <w:r w:rsidR="0054222F" w:rsidRPr="0054222F">
        <w:rPr>
          <w:rFonts w:ascii="Times New Roman" w:hAnsi="Times New Roman" w:cs="Times New Roman"/>
          <w:noProof/>
          <w:color w:val="0D0D0D"/>
          <w:lang w:val="en-US"/>
        </w:rPr>
        <w:t>(World Education Forum, 2015)</w:t>
      </w:r>
      <w:r w:rsidR="0054222F">
        <w:rPr>
          <w:rFonts w:ascii="Times New Roman" w:hAnsi="Times New Roman" w:cs="Times New Roman"/>
          <w:color w:val="0D0D0D"/>
          <w:lang w:val="en-US"/>
        </w:rPr>
        <w:fldChar w:fldCharType="end"/>
      </w:r>
      <w:r w:rsidRPr="00D45F59">
        <w:rPr>
          <w:rFonts w:ascii="Times New Roman" w:hAnsi="Times New Roman" w:cs="Times New Roman"/>
          <w:color w:val="0D0D0D"/>
          <w:lang w:val="en-US"/>
        </w:rPr>
        <w:t>.</w:t>
      </w:r>
    </w:p>
    <w:p w:rsidR="00D45F59" w:rsidRPr="00D45F59" w:rsidRDefault="00D45F59" w:rsidP="00FA7906">
      <w:pPr>
        <w:autoSpaceDE w:val="0"/>
        <w:autoSpaceDN w:val="0"/>
        <w:adjustRightInd w:val="0"/>
        <w:spacing w:line="360" w:lineRule="auto"/>
        <w:ind w:firstLine="708"/>
        <w:jc w:val="both"/>
        <w:rPr>
          <w:rFonts w:ascii="Times New Roman" w:hAnsi="Times New Roman" w:cs="Times New Roman"/>
          <w:color w:val="0D0D0D"/>
          <w:sz w:val="24"/>
          <w:szCs w:val="24"/>
          <w:lang w:val="en-US"/>
        </w:rPr>
      </w:pPr>
      <w:r w:rsidRPr="00D45F59">
        <w:rPr>
          <w:rFonts w:ascii="Times New Roman" w:hAnsi="Times New Roman" w:cs="Times New Roman"/>
          <w:color w:val="0D0D0D"/>
          <w:sz w:val="24"/>
          <w:szCs w:val="24"/>
          <w:lang w:val="en-US"/>
        </w:rPr>
        <w:t>The expansion of curricula, including the addition of courses in French, Arabic, and English, has placed new stress on a limited supply of teachers and materials. In the mid-1990s, a major curriculum reform was begun. Western experts advised: a more commercial approach to the mathematics curriculum more emphasis in economics courses on the relationship of capital to labor more emphasis in social science courses on individual responsibility for the environment the addition of entirely new subjects, such as business management. Because such changes involve new materials and a new pedagogical approach by staff, the reform period is estimated at 10 to 15 years. The current transformation of the educational system is performed along with educational models in developed countries</w:t>
      </w:r>
      <w:r w:rsidR="0054222F">
        <w:rPr>
          <w:rFonts w:ascii="Times New Roman" w:hAnsi="Times New Roman" w:cs="Times New Roman"/>
          <w:color w:val="0D0D0D"/>
          <w:sz w:val="24"/>
          <w:szCs w:val="24"/>
          <w:lang w:val="en-US"/>
        </w:rPr>
        <w:t xml:space="preserve"> </w:t>
      </w:r>
      <w:r w:rsidR="0054222F">
        <w:rPr>
          <w:rFonts w:ascii="Times New Roman" w:hAnsi="Times New Roman" w:cs="Times New Roman"/>
          <w:color w:val="0D0D0D"/>
          <w:sz w:val="24"/>
          <w:szCs w:val="24"/>
          <w:lang w:val="en-US"/>
        </w:rPr>
        <w:fldChar w:fldCharType="begin" w:fldLock="1"/>
      </w:r>
      <w:r w:rsidR="0054222F">
        <w:rPr>
          <w:rFonts w:ascii="Times New Roman" w:hAnsi="Times New Roman" w:cs="Times New Roman"/>
          <w:color w:val="0D0D0D"/>
          <w:sz w:val="24"/>
          <w:szCs w:val="24"/>
          <w:lang w:val="en-US"/>
        </w:rPr>
        <w:instrText>ADDIN CSL_CITATION {"citationItems":[{"id":"ITEM-1","itemData":{"author":[{"dropping-particle":"","family":"Statistical Committee of the Republic of Uzbekistan","given":"","non-dropping-particle":"","parse-names":false,"suffix":""}],"container-title":"State Statistics Office","id":"ITEM-1","issued":{"date-parts":[["2019"]]},"number-of-pages":"138-155","title":"Uzbekistan. Budget on Education and Healthcare","type":"report"},"uris":["http://www.mendeley.com/documents/?uuid=81eed510-701d-495a-91ec-2d8cbc078c5a"]}],"mendeley":{"formattedCitation":"(Statistical Committee of the Republic of Uzbekistan, 2019)","plainTextFormattedCitation":"(Statistical Committee of the Republic of Uzbekistan, 2019)","previouslyFormattedCitation":"(Statistical Committee of the Republic of Uzbekistan, 2019)"},"properties":{"noteIndex":0},"schema":"https://github.com/citation-style-language/schema/raw/master/csl-citation.json"}</w:instrText>
      </w:r>
      <w:r w:rsidR="0054222F">
        <w:rPr>
          <w:rFonts w:ascii="Times New Roman" w:hAnsi="Times New Roman" w:cs="Times New Roman"/>
          <w:color w:val="0D0D0D"/>
          <w:sz w:val="24"/>
          <w:szCs w:val="24"/>
          <w:lang w:val="en-US"/>
        </w:rPr>
        <w:fldChar w:fldCharType="separate"/>
      </w:r>
      <w:r w:rsidR="0054222F" w:rsidRPr="0054222F">
        <w:rPr>
          <w:rFonts w:ascii="Times New Roman" w:hAnsi="Times New Roman" w:cs="Times New Roman"/>
          <w:noProof/>
          <w:color w:val="0D0D0D"/>
          <w:sz w:val="24"/>
          <w:szCs w:val="24"/>
          <w:lang w:val="en-US"/>
        </w:rPr>
        <w:t>(Statistical Committee of the Republic of Uzbekistan, 2019)</w:t>
      </w:r>
      <w:r w:rsidR="0054222F">
        <w:rPr>
          <w:rFonts w:ascii="Times New Roman" w:hAnsi="Times New Roman" w:cs="Times New Roman"/>
          <w:color w:val="0D0D0D"/>
          <w:sz w:val="24"/>
          <w:szCs w:val="24"/>
          <w:lang w:val="en-US"/>
        </w:rPr>
        <w:fldChar w:fldCharType="end"/>
      </w:r>
      <w:r w:rsidRPr="00D45F59">
        <w:rPr>
          <w:rFonts w:ascii="Times New Roman" w:hAnsi="Times New Roman" w:cs="Times New Roman"/>
          <w:color w:val="0D0D0D"/>
          <w:sz w:val="24"/>
          <w:szCs w:val="24"/>
          <w:lang w:val="en-US"/>
        </w:rPr>
        <w:t xml:space="preserve">. According to </w:t>
      </w:r>
      <w:proofErr w:type="spellStart"/>
      <w:r w:rsidRPr="00D45F59">
        <w:rPr>
          <w:rFonts w:ascii="Times New Roman" w:hAnsi="Times New Roman" w:cs="Times New Roman"/>
          <w:color w:val="0D0D0D"/>
          <w:sz w:val="24"/>
          <w:szCs w:val="24"/>
          <w:lang w:val="en-US"/>
        </w:rPr>
        <w:t>Gulyamov</w:t>
      </w:r>
      <w:proofErr w:type="spellEnd"/>
      <w:r w:rsidRPr="00D45F59">
        <w:rPr>
          <w:rFonts w:ascii="Times New Roman" w:hAnsi="Times New Roman" w:cs="Times New Roman"/>
          <w:color w:val="0D0D0D"/>
          <w:sz w:val="24"/>
          <w:szCs w:val="24"/>
          <w:lang w:val="en-US"/>
        </w:rPr>
        <w:t>, "During the process of developing the National Program the experience of reforming education in more than 30 leading countries in the world has been studied". In 1997, President Karimov founded "</w:t>
      </w:r>
      <w:proofErr w:type="spellStart"/>
      <w:r w:rsidRPr="00D45F59">
        <w:rPr>
          <w:rFonts w:ascii="Times New Roman" w:hAnsi="Times New Roman" w:cs="Times New Roman"/>
          <w:color w:val="0D0D0D"/>
          <w:sz w:val="24"/>
          <w:szCs w:val="24"/>
          <w:lang w:val="en-US"/>
        </w:rPr>
        <w:t>Umid</w:t>
      </w:r>
      <w:proofErr w:type="spellEnd"/>
      <w:r w:rsidRPr="00D45F59">
        <w:rPr>
          <w:rFonts w:ascii="Times New Roman" w:hAnsi="Times New Roman" w:cs="Times New Roman"/>
          <w:color w:val="0D0D0D"/>
          <w:sz w:val="24"/>
          <w:szCs w:val="24"/>
          <w:lang w:val="en-US"/>
        </w:rPr>
        <w:t>," a program providing students with educational fellowships for obtaining education abroad. By the year2000, over 700 students have been awarded the "</w:t>
      </w:r>
      <w:proofErr w:type="spellStart"/>
      <w:r w:rsidRPr="00D45F59">
        <w:rPr>
          <w:rFonts w:ascii="Times New Roman" w:hAnsi="Times New Roman" w:cs="Times New Roman"/>
          <w:color w:val="0D0D0D"/>
          <w:sz w:val="24"/>
          <w:szCs w:val="24"/>
          <w:lang w:val="en-US"/>
        </w:rPr>
        <w:t>Umid</w:t>
      </w:r>
      <w:proofErr w:type="spellEnd"/>
      <w:r w:rsidRPr="00D45F59">
        <w:rPr>
          <w:rFonts w:ascii="Times New Roman" w:hAnsi="Times New Roman" w:cs="Times New Roman"/>
          <w:color w:val="0D0D0D"/>
          <w:sz w:val="24"/>
          <w:szCs w:val="24"/>
          <w:lang w:val="en-US"/>
        </w:rPr>
        <w:t xml:space="preserve">" Presidential Scholarship to pursue graduate and undergraduate degrees in the United States, the United Kingdom, Germany, France, Italy, and Japan. Certainly, returning graduates are expected to bring back "the influence," and those who have finished their studies are employed by the State. The Uzbekistan educators established contacts with the United Nations Organization and separate countries like France, Germany, the Republic of Korea, Turkey, and the United States. Many organizations like Peace Corp (USA), ACCELS (USA), British Council, Merci Project (Great Britain), Goethe Institute (Germany), NAFE (USA), and Save the Children Fund (Great Britain) participate in the educational efforts undertaken by Uzbekistan. For example, the Ministry of </w:t>
      </w:r>
      <w:r w:rsidRPr="00D45F59">
        <w:rPr>
          <w:rFonts w:ascii="Times New Roman" w:hAnsi="Times New Roman" w:cs="Times New Roman"/>
          <w:color w:val="0D0D0D"/>
          <w:sz w:val="24"/>
          <w:szCs w:val="24"/>
          <w:lang w:val="en-US"/>
        </w:rPr>
        <w:lastRenderedPageBreak/>
        <w:t xml:space="preserve">Education of Turkey assisted in forming 22 </w:t>
      </w:r>
      <w:r w:rsidRPr="00D45F59">
        <w:rPr>
          <w:rFonts w:ascii="Times New Roman" w:hAnsi="Times New Roman" w:cs="Times New Roman"/>
          <w:i/>
          <w:iCs/>
          <w:color w:val="0D0D0D"/>
          <w:sz w:val="24"/>
          <w:szCs w:val="24"/>
          <w:lang w:val="en-US"/>
        </w:rPr>
        <w:t xml:space="preserve">Lycra </w:t>
      </w:r>
      <w:r w:rsidRPr="00D45F59">
        <w:rPr>
          <w:rFonts w:ascii="Times New Roman" w:hAnsi="Times New Roman" w:cs="Times New Roman"/>
          <w:color w:val="0D0D0D"/>
          <w:sz w:val="24"/>
          <w:szCs w:val="24"/>
          <w:lang w:val="en-US"/>
        </w:rPr>
        <w:t>for over 4.8 thousand students. Another example is the American Council on Cooperation in Education (ANNALS) which within 4 years helped over 222 Uzbekistan students get an education in the United States. Finally, within only 2 years, 25 Uzbekistan schools got the certificates of UNESCO Associated Schools Project (ASP).</w:t>
      </w:r>
    </w:p>
    <w:p w:rsidR="00D45F59" w:rsidRPr="00D45F59" w:rsidRDefault="00D45F59" w:rsidP="00D45F59">
      <w:pPr>
        <w:spacing w:after="0" w:line="360" w:lineRule="auto"/>
        <w:jc w:val="both"/>
        <w:rPr>
          <w:rFonts w:ascii="Times New Roman" w:hAnsi="Times New Roman" w:cs="Times New Roman"/>
          <w:b/>
          <w:sz w:val="24"/>
          <w:szCs w:val="24"/>
          <w:lang w:val="en-US"/>
        </w:rPr>
      </w:pPr>
      <w:r w:rsidRPr="00D45F59">
        <w:rPr>
          <w:rFonts w:ascii="Times New Roman" w:hAnsi="Times New Roman" w:cs="Times New Roman"/>
          <w:b/>
          <w:sz w:val="24"/>
          <w:szCs w:val="24"/>
          <w:lang w:val="en-US"/>
        </w:rPr>
        <w:t>CONCLUSION</w:t>
      </w:r>
    </w:p>
    <w:p w:rsidR="00D45F59" w:rsidRPr="00D45F59" w:rsidRDefault="00D45F59" w:rsidP="00D45F59">
      <w:pPr>
        <w:spacing w:after="0" w:line="360" w:lineRule="auto"/>
        <w:jc w:val="both"/>
        <w:rPr>
          <w:rFonts w:ascii="Times New Roman" w:hAnsi="Times New Roman" w:cs="Times New Roman"/>
          <w:color w:val="0D0D0D"/>
          <w:sz w:val="24"/>
          <w:szCs w:val="24"/>
          <w:lang w:val="en-US"/>
        </w:rPr>
      </w:pPr>
      <w:r w:rsidRPr="00D45F59">
        <w:rPr>
          <w:rFonts w:ascii="Times New Roman" w:hAnsi="Times New Roman" w:cs="Times New Roman"/>
          <w:color w:val="0D0D0D"/>
          <w:sz w:val="24"/>
          <w:szCs w:val="24"/>
          <w:lang w:val="en-US"/>
        </w:rPr>
        <w:t>Education has and will continue to play a significant role in development. First, it increases an individual's internal potential, self-respect, and self-esteem. Second, it makes an individual a better prospect for employment. Third and most importantly, an educated individual gives more back to society. Unfortunately, the results of education and training are less directly connected to revenue for immediate business growth, which is why the government tends to cut educational budgets. By the end of primary school, students in Uzbekistan were able to identify or recall simple and more obvious information and complete set</w:t>
      </w:r>
      <w:r>
        <w:rPr>
          <w:rFonts w:ascii="Times New Roman" w:hAnsi="Times New Roman" w:cs="Times New Roman"/>
          <w:color w:val="0D0D0D"/>
          <w:sz w:val="24"/>
          <w:szCs w:val="24"/>
          <w:lang w:val="en-US"/>
        </w:rPr>
        <w:t>-</w:t>
      </w:r>
      <w:r w:rsidRPr="00D45F59">
        <w:rPr>
          <w:rFonts w:ascii="Times New Roman" w:hAnsi="Times New Roman" w:cs="Times New Roman"/>
          <w:color w:val="0D0D0D"/>
          <w:sz w:val="24"/>
          <w:szCs w:val="24"/>
          <w:lang w:val="en-US"/>
        </w:rPr>
        <w:t xml:space="preserve">out uncomplicated tasks. However, students struggled to identify, interpret and evaluate more complicated information, solve complex mathematical problems and respond to questions that required reasoning and application. Girls performed better than boys in reading comprehension but similarly in mathematics and science. Children in urban areas performed better than those in rural areas in mathematics and science but not in reading comprehension. Children who had access to books and were immersed in a culture of reading and learning at home performed better on every test compared with children lacking access to reading aids. Having the physical infrastructure at home to enable study (e.g., a desk) also enhanced learning. Better test scores were achieved by those students whose families had provided them with early learning and literacy experiences, for example, by reading books, telling stories, and singing lullabies to them. Children who felt supported by their family, and who were either rewarded or reprimanded for their school performance, also achieved higher scores. Children who had attended a preschool before starting primary school performed better than those who had not. Furthermore, those children who were educated in the same language as spoken at home performed much better than children whose school and home languages differed. In tests of reading comprehension, students in Uzbek-speaking schools (where 68 percent of students spoke Uzbek at home) did much better than those in Russian-speaking schools (where only 42 percent of students spoke Russian at home). </w:t>
      </w:r>
    </w:p>
    <w:p w:rsidR="00D45F59" w:rsidRPr="00D45F59" w:rsidRDefault="00D45F59" w:rsidP="00D45F59">
      <w:pPr>
        <w:spacing w:after="0" w:line="360" w:lineRule="auto"/>
        <w:jc w:val="both"/>
        <w:rPr>
          <w:rFonts w:ascii="Times New Roman" w:hAnsi="Times New Roman" w:cs="Times New Roman"/>
          <w:sz w:val="24"/>
          <w:szCs w:val="24"/>
          <w:lang w:val="en-US"/>
        </w:rPr>
      </w:pPr>
    </w:p>
    <w:p w:rsidR="00D45F59" w:rsidRPr="00D45F59" w:rsidRDefault="00D45F59" w:rsidP="00D45F59">
      <w:pPr>
        <w:spacing w:after="0" w:line="360" w:lineRule="auto"/>
        <w:jc w:val="both"/>
        <w:rPr>
          <w:rFonts w:ascii="Times New Roman" w:hAnsi="Times New Roman" w:cs="Times New Roman"/>
          <w:b/>
          <w:sz w:val="24"/>
          <w:szCs w:val="24"/>
          <w:lang w:val="en-US"/>
        </w:rPr>
      </w:pPr>
      <w:r w:rsidRPr="00D45F59">
        <w:rPr>
          <w:rFonts w:ascii="Times New Roman" w:hAnsi="Times New Roman" w:cs="Times New Roman"/>
          <w:b/>
          <w:sz w:val="24"/>
          <w:szCs w:val="24"/>
          <w:lang w:val="en-US"/>
        </w:rPr>
        <w:t>ACKNOWLEDGEMENT</w:t>
      </w:r>
    </w:p>
    <w:p w:rsidR="00D45F59" w:rsidRPr="00D45F59" w:rsidRDefault="00D45F59" w:rsidP="00D45F59">
      <w:pPr>
        <w:spacing w:after="0" w:line="360" w:lineRule="auto"/>
        <w:jc w:val="both"/>
        <w:rPr>
          <w:rFonts w:ascii="Times New Roman" w:hAnsi="Times New Roman" w:cs="Times New Roman"/>
          <w:sz w:val="24"/>
          <w:szCs w:val="24"/>
          <w:lang w:val="en-US"/>
        </w:rPr>
      </w:pPr>
      <w:r w:rsidRPr="00D45F59">
        <w:rPr>
          <w:rFonts w:ascii="Times New Roman" w:eastAsia="MinionPro-Regular" w:hAnsi="Times New Roman" w:cs="Times New Roman"/>
          <w:sz w:val="24"/>
          <w:szCs w:val="24"/>
          <w:lang w:val="en-US" w:eastAsia="ru-RU"/>
        </w:rPr>
        <w:t>No potential conflict of interest was reported by the author.</w:t>
      </w:r>
    </w:p>
    <w:p w:rsidR="00D45F59" w:rsidRDefault="00D45F59" w:rsidP="00D45F59">
      <w:pPr>
        <w:spacing w:after="0" w:line="360" w:lineRule="auto"/>
        <w:ind w:firstLine="708"/>
        <w:jc w:val="both"/>
        <w:rPr>
          <w:rFonts w:ascii="Times New Roman" w:hAnsi="Times New Roman" w:cs="Times New Roman"/>
          <w:color w:val="0D0D0D"/>
          <w:sz w:val="24"/>
          <w:szCs w:val="18"/>
          <w:lang w:val="en-US"/>
        </w:rPr>
      </w:pPr>
    </w:p>
    <w:p w:rsidR="00FA7906" w:rsidRDefault="00FA7906" w:rsidP="00D45F59">
      <w:pPr>
        <w:spacing w:after="0" w:line="360" w:lineRule="auto"/>
        <w:ind w:firstLine="708"/>
        <w:jc w:val="both"/>
        <w:rPr>
          <w:rFonts w:ascii="Times New Roman" w:hAnsi="Times New Roman" w:cs="Times New Roman"/>
          <w:color w:val="0D0D0D"/>
          <w:sz w:val="24"/>
          <w:szCs w:val="18"/>
          <w:lang w:val="en-US"/>
        </w:rPr>
      </w:pPr>
    </w:p>
    <w:p w:rsidR="00FA7906" w:rsidRDefault="00FA7906" w:rsidP="00D45F59">
      <w:pPr>
        <w:spacing w:after="0" w:line="360" w:lineRule="auto"/>
        <w:ind w:firstLine="708"/>
        <w:jc w:val="both"/>
        <w:rPr>
          <w:rFonts w:ascii="Times New Roman" w:hAnsi="Times New Roman" w:cs="Times New Roman"/>
          <w:color w:val="0D0D0D"/>
          <w:sz w:val="24"/>
          <w:szCs w:val="18"/>
          <w:lang w:val="en-US"/>
        </w:rPr>
      </w:pPr>
    </w:p>
    <w:p w:rsidR="00D45F59" w:rsidRDefault="00D45F59" w:rsidP="00D45F59">
      <w:pPr>
        <w:spacing w:after="0" w:line="240" w:lineRule="auto"/>
        <w:jc w:val="both"/>
        <w:rPr>
          <w:rFonts w:ascii="Times New Roman" w:hAnsi="Times New Roman" w:cs="Times New Roman"/>
          <w:b/>
          <w:sz w:val="24"/>
          <w:szCs w:val="18"/>
          <w:lang w:val="en-US"/>
        </w:rPr>
      </w:pPr>
      <w:r w:rsidRPr="00D45F59">
        <w:rPr>
          <w:rFonts w:ascii="Times New Roman" w:hAnsi="Times New Roman" w:cs="Times New Roman"/>
          <w:b/>
          <w:sz w:val="24"/>
          <w:szCs w:val="18"/>
          <w:lang w:val="en-US"/>
        </w:rPr>
        <w:lastRenderedPageBreak/>
        <w:t>REFERENCES</w:t>
      </w:r>
    </w:p>
    <w:p w:rsidR="00D45F59" w:rsidRPr="00D45F59" w:rsidRDefault="00D45F59" w:rsidP="00D45F59">
      <w:pPr>
        <w:spacing w:after="0" w:line="240" w:lineRule="auto"/>
        <w:jc w:val="both"/>
        <w:rPr>
          <w:rFonts w:ascii="Times New Roman" w:hAnsi="Times New Roman" w:cs="Times New Roman"/>
          <w:b/>
          <w:sz w:val="24"/>
          <w:szCs w:val="18"/>
          <w:lang w:val="en-US"/>
        </w:rPr>
      </w:pP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54222F">
        <w:rPr>
          <w:rFonts w:ascii="Times New Roman" w:hAnsi="Times New Roman" w:cs="Times New Roman"/>
          <w:sz w:val="24"/>
          <w:szCs w:val="24"/>
          <w:lang w:val="en-US"/>
        </w:rPr>
        <w:fldChar w:fldCharType="begin" w:fldLock="1"/>
      </w:r>
      <w:r w:rsidRPr="0054222F">
        <w:rPr>
          <w:rFonts w:ascii="Times New Roman" w:hAnsi="Times New Roman" w:cs="Times New Roman"/>
          <w:sz w:val="24"/>
          <w:szCs w:val="24"/>
          <w:lang w:val="en-US"/>
        </w:rPr>
        <w:instrText xml:space="preserve">ADDIN Mendeley Bibliography CSL_BIBLIOGRAPHY </w:instrText>
      </w:r>
      <w:r w:rsidRPr="0054222F">
        <w:rPr>
          <w:rFonts w:ascii="Times New Roman" w:hAnsi="Times New Roman" w:cs="Times New Roman"/>
          <w:sz w:val="24"/>
          <w:szCs w:val="24"/>
          <w:lang w:val="en-US"/>
        </w:rPr>
        <w:fldChar w:fldCharType="separate"/>
      </w:r>
      <w:r w:rsidRPr="00FA7906">
        <w:rPr>
          <w:rFonts w:ascii="Times New Roman" w:hAnsi="Times New Roman" w:cs="Times New Roman"/>
          <w:noProof/>
          <w:sz w:val="24"/>
          <w:szCs w:val="24"/>
          <w:lang w:val="en-US"/>
        </w:rPr>
        <w:t xml:space="preserve">ADB. (2010). </w:t>
      </w:r>
      <w:r w:rsidRPr="00FA7906">
        <w:rPr>
          <w:rFonts w:ascii="Times New Roman" w:hAnsi="Times New Roman" w:cs="Times New Roman"/>
          <w:i/>
          <w:iCs/>
          <w:noProof/>
          <w:sz w:val="24"/>
          <w:szCs w:val="24"/>
          <w:lang w:val="en-US"/>
        </w:rPr>
        <w:t>Uzbekistan : Education</w:t>
      </w:r>
      <w:r w:rsidRPr="00FA7906">
        <w:rPr>
          <w:rFonts w:ascii="Times New Roman" w:hAnsi="Times New Roman" w:cs="Times New Roman"/>
          <w:noProof/>
          <w:sz w:val="24"/>
          <w:szCs w:val="24"/>
          <w:lang w:val="en-US"/>
        </w:rPr>
        <w:t xml:space="preserve"> (Issue September). https://www.adb.org/documents/sector-assistance-program-evaluation-education-uzbekistan</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ADB, A. D. B. (2012). </w:t>
      </w:r>
      <w:r w:rsidRPr="00FA7906">
        <w:rPr>
          <w:rFonts w:ascii="Times New Roman" w:hAnsi="Times New Roman" w:cs="Times New Roman"/>
          <w:i/>
          <w:iCs/>
          <w:noProof/>
          <w:sz w:val="24"/>
          <w:szCs w:val="24"/>
          <w:lang w:val="en-US"/>
        </w:rPr>
        <w:t>ICT in education in central and west Asia: executive summary</w:t>
      </w:r>
      <w:r w:rsidRPr="00FA7906">
        <w:rPr>
          <w:rFonts w:ascii="Times New Roman" w:hAnsi="Times New Roman" w:cs="Times New Roman"/>
          <w:noProof/>
          <w:sz w:val="24"/>
          <w:szCs w:val="24"/>
          <w:lang w:val="en-US"/>
        </w:rPr>
        <w:t>. https://www.adb.org/publications/ict-education-central-and-west-asia-executive-summary</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Habibov, N. (2012). Early childhood care and education attendance in Central Asia. </w:t>
      </w:r>
      <w:r w:rsidRPr="00FA7906">
        <w:rPr>
          <w:rFonts w:ascii="Times New Roman" w:hAnsi="Times New Roman" w:cs="Times New Roman"/>
          <w:i/>
          <w:iCs/>
          <w:noProof/>
          <w:sz w:val="24"/>
          <w:szCs w:val="24"/>
          <w:lang w:val="en-US"/>
        </w:rPr>
        <w:t>Children and Youth Services Review</w:t>
      </w:r>
      <w:r w:rsidRPr="00FA7906">
        <w:rPr>
          <w:rFonts w:ascii="Times New Roman" w:hAnsi="Times New Roman" w:cs="Times New Roman"/>
          <w:noProof/>
          <w:sz w:val="24"/>
          <w:szCs w:val="24"/>
          <w:lang w:val="en-US"/>
        </w:rPr>
        <w:t>. https://doi.org/10.1016/j.childyouth.2012.01.006</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Hakimov, N. H., Ruziyeva, R. K., Muhammadiyeva, O. M., &amp; Allayarova, S. N. (2020). Education system mission in the conditions of civil society development. In </w:t>
      </w:r>
      <w:r w:rsidRPr="00FA7906">
        <w:rPr>
          <w:rFonts w:ascii="Times New Roman" w:hAnsi="Times New Roman" w:cs="Times New Roman"/>
          <w:i/>
          <w:iCs/>
          <w:noProof/>
          <w:sz w:val="24"/>
          <w:szCs w:val="24"/>
          <w:lang w:val="en-US"/>
        </w:rPr>
        <w:t>Journal of Critical Reviews</w:t>
      </w:r>
      <w:r w:rsidRPr="00FA7906">
        <w:rPr>
          <w:rFonts w:ascii="Times New Roman" w:hAnsi="Times New Roman" w:cs="Times New Roman"/>
          <w:noProof/>
          <w:sz w:val="24"/>
          <w:szCs w:val="24"/>
          <w:lang w:val="en-US"/>
        </w:rPr>
        <w:t>. https://doi.org/10.31838/jcr.07.05.173</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Izvorski, I. V., Trushin, E., Appiah-Koranteng, A., Varoudakis, A., Islam, R., Safarov, M., Lord, D., Motohashi, M., Ihsan, A., Zorya, S., Hawkesworth, I., Philipsen, F., James, S., Anadolu, E., Teixeira, J., &amp; Karakulah, K. (2019). Uzbekistan Public Expenditure Review. In </w:t>
      </w:r>
      <w:r w:rsidRPr="00FA7906">
        <w:rPr>
          <w:rFonts w:ascii="Times New Roman" w:hAnsi="Times New Roman" w:cs="Times New Roman"/>
          <w:i/>
          <w:iCs/>
          <w:noProof/>
          <w:sz w:val="24"/>
          <w:szCs w:val="24"/>
          <w:lang w:val="en-US"/>
        </w:rPr>
        <w:t>Uzbekistan Public Expenditure Review</w:t>
      </w:r>
      <w:r w:rsidRPr="00FA7906">
        <w:rPr>
          <w:rFonts w:ascii="Times New Roman" w:hAnsi="Times New Roman" w:cs="Times New Roman"/>
          <w:noProof/>
          <w:sz w:val="24"/>
          <w:szCs w:val="24"/>
          <w:lang w:val="en-US"/>
        </w:rPr>
        <w:t>. https://doi.org/10.1596/33371</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 (2014). </w:t>
      </w:r>
      <w:r w:rsidRPr="00FA7906">
        <w:rPr>
          <w:rFonts w:ascii="Times New Roman" w:hAnsi="Times New Roman" w:cs="Times New Roman"/>
          <w:i/>
          <w:iCs/>
          <w:noProof/>
          <w:sz w:val="24"/>
          <w:szCs w:val="24"/>
          <w:lang w:val="en-US"/>
        </w:rPr>
        <w:t>Comparative study on similarities and differences of teaching and learning process in primary schools in Indonesia and Uzbekistan</w:t>
      </w:r>
      <w:r w:rsidRPr="00FA7906">
        <w:rPr>
          <w:rFonts w:ascii="Times New Roman" w:hAnsi="Times New Roman" w:cs="Times New Roman"/>
          <w:noProof/>
          <w:sz w:val="24"/>
          <w:szCs w:val="24"/>
          <w:lang w:val="en-US"/>
        </w:rPr>
        <w:t xml:space="preserve"> (1st ed.) [Repository Universitas Pendidikan Indonesia]. https://doi.org/10.13140/RG.2.2.25852.28806</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 (2019). THE IMPORTANCE OF HANDWRITING IN EDUCATION. </w:t>
      </w:r>
      <w:r w:rsidRPr="00FA7906">
        <w:rPr>
          <w:rFonts w:ascii="Times New Roman" w:hAnsi="Times New Roman" w:cs="Times New Roman"/>
          <w:i/>
          <w:iCs/>
          <w:noProof/>
          <w:sz w:val="24"/>
          <w:szCs w:val="24"/>
          <w:lang w:val="en-US"/>
        </w:rPr>
        <w:t>International Journal of Advanced Research</w:t>
      </w:r>
      <w:r w:rsidRPr="00FA7906">
        <w:rPr>
          <w:rFonts w:ascii="Times New Roman" w:hAnsi="Times New Roman" w:cs="Times New Roman"/>
          <w:noProof/>
          <w:sz w:val="24"/>
          <w:szCs w:val="24"/>
          <w:lang w:val="en-US"/>
        </w:rPr>
        <w:t>. https://doi.org/10.21474/ijar01/10237</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 (2021). A REVIEW OF NATIONAL EDUCATION SYSTEM OF INDONESIA AND UZBEKISTAN : Manuscript Info Abstract Introduction : - ISSN : 2320-5407. </w:t>
      </w:r>
      <w:r w:rsidRPr="00FA7906">
        <w:rPr>
          <w:rFonts w:ascii="Times New Roman" w:hAnsi="Times New Roman" w:cs="Times New Roman"/>
          <w:i/>
          <w:iCs/>
          <w:noProof/>
          <w:sz w:val="24"/>
          <w:szCs w:val="24"/>
          <w:lang w:val="en-US"/>
        </w:rPr>
        <w:t>International Journal of Advanced Research</w:t>
      </w:r>
      <w:r w:rsidRPr="00FA7906">
        <w:rPr>
          <w:rFonts w:ascii="Times New Roman" w:hAnsi="Times New Roman" w:cs="Times New Roman"/>
          <w:noProof/>
          <w:sz w:val="24"/>
          <w:szCs w:val="24"/>
          <w:lang w:val="en-US"/>
        </w:rPr>
        <w:t xml:space="preserve">, </w:t>
      </w:r>
      <w:r w:rsidRPr="00FA7906">
        <w:rPr>
          <w:rFonts w:ascii="Times New Roman" w:hAnsi="Times New Roman" w:cs="Times New Roman"/>
          <w:i/>
          <w:iCs/>
          <w:noProof/>
          <w:sz w:val="24"/>
          <w:szCs w:val="24"/>
          <w:lang w:val="en-US"/>
        </w:rPr>
        <w:t>9</w:t>
      </w:r>
      <w:r w:rsidRPr="00FA7906">
        <w:rPr>
          <w:rFonts w:ascii="Times New Roman" w:hAnsi="Times New Roman" w:cs="Times New Roman"/>
          <w:noProof/>
          <w:sz w:val="24"/>
          <w:szCs w:val="24"/>
          <w:lang w:val="en-US"/>
        </w:rPr>
        <w:t>(02), 461–474. https://doi.org/10.21474/IJAR01/12470</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 Iroda, J., Gulnoza, I., &amp; Madina, R. (2020). EXPLORATION EFFECTS OF HANDWRITING ON CHILDREN’S WRITING PROGRESS. </w:t>
      </w:r>
      <w:r w:rsidRPr="00FA7906">
        <w:rPr>
          <w:rFonts w:ascii="Times New Roman" w:hAnsi="Times New Roman" w:cs="Times New Roman"/>
          <w:i/>
          <w:iCs/>
          <w:noProof/>
          <w:sz w:val="24"/>
          <w:szCs w:val="24"/>
          <w:lang w:val="en-US"/>
        </w:rPr>
        <w:t>International Journal of Advanced Research</w:t>
      </w:r>
      <w:r w:rsidRPr="00FA7906">
        <w:rPr>
          <w:rFonts w:ascii="Times New Roman" w:hAnsi="Times New Roman" w:cs="Times New Roman"/>
          <w:noProof/>
          <w:sz w:val="24"/>
          <w:szCs w:val="24"/>
          <w:lang w:val="en-US"/>
        </w:rPr>
        <w:t>. https://doi.org/10.21474/ijar01/11667</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 N., &amp; Jumaev, H. S. (2019). SMALL BUSINESS, INNOVATION AND ENTREPRENEURSHIP. </w:t>
      </w:r>
      <w:r w:rsidRPr="00FA7906">
        <w:rPr>
          <w:rFonts w:ascii="Times New Roman" w:hAnsi="Times New Roman" w:cs="Times New Roman"/>
          <w:i/>
          <w:iCs/>
          <w:noProof/>
          <w:sz w:val="24"/>
          <w:szCs w:val="24"/>
          <w:lang w:val="en-US"/>
        </w:rPr>
        <w:t>International Journal of Advanced Research</w:t>
      </w:r>
      <w:r w:rsidRPr="00FA7906">
        <w:rPr>
          <w:rFonts w:ascii="Times New Roman" w:hAnsi="Times New Roman" w:cs="Times New Roman"/>
          <w:noProof/>
          <w:sz w:val="24"/>
          <w:szCs w:val="24"/>
          <w:lang w:val="en-US"/>
        </w:rPr>
        <w:t>. https://doi.org/10.21474/ijar01/10008</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Shaturaev Jakhongir. (2019). The Importance of Handwriting in Education. </w:t>
      </w:r>
      <w:r w:rsidRPr="00FA7906">
        <w:rPr>
          <w:rFonts w:ascii="Times New Roman" w:hAnsi="Times New Roman" w:cs="Times New Roman"/>
          <w:i/>
          <w:iCs/>
          <w:noProof/>
          <w:sz w:val="24"/>
          <w:szCs w:val="24"/>
          <w:lang w:val="en-US"/>
        </w:rPr>
        <w:t>International Journal of Advanced Research</w:t>
      </w:r>
      <w:r w:rsidRPr="00FA7906">
        <w:rPr>
          <w:rFonts w:ascii="Times New Roman" w:hAnsi="Times New Roman" w:cs="Times New Roman"/>
          <w:noProof/>
          <w:sz w:val="24"/>
          <w:szCs w:val="24"/>
          <w:lang w:val="en-US"/>
        </w:rPr>
        <w:t xml:space="preserve">, </w:t>
      </w:r>
      <w:r w:rsidRPr="00FA7906">
        <w:rPr>
          <w:rFonts w:ascii="Times New Roman" w:hAnsi="Times New Roman" w:cs="Times New Roman"/>
          <w:i/>
          <w:iCs/>
          <w:noProof/>
          <w:sz w:val="24"/>
          <w:szCs w:val="24"/>
          <w:lang w:val="en-US"/>
        </w:rPr>
        <w:t>7</w:t>
      </w:r>
      <w:r w:rsidRPr="00FA7906">
        <w:rPr>
          <w:rFonts w:ascii="Times New Roman" w:hAnsi="Times New Roman" w:cs="Times New Roman"/>
          <w:noProof/>
          <w:sz w:val="24"/>
          <w:szCs w:val="24"/>
          <w:lang w:val="en-US"/>
        </w:rPr>
        <w:t>(12), 947–954. https://doi.org/10.21474/ijar01/10237</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Statistical Committee of the Republic of Uzbekistan. (2019). Uzbekistan. Budget on Education and Healthcare. In </w:t>
      </w:r>
      <w:r w:rsidRPr="00FA7906">
        <w:rPr>
          <w:rFonts w:ascii="Times New Roman" w:hAnsi="Times New Roman" w:cs="Times New Roman"/>
          <w:i/>
          <w:iCs/>
          <w:noProof/>
          <w:sz w:val="24"/>
          <w:szCs w:val="24"/>
          <w:lang w:val="en-US"/>
        </w:rPr>
        <w:t>State Statistics Office</w:t>
      </w:r>
      <w:r w:rsidRPr="00FA7906">
        <w:rPr>
          <w:rFonts w:ascii="Times New Roman" w:hAnsi="Times New Roman" w:cs="Times New Roman"/>
          <w:noProof/>
          <w:sz w:val="24"/>
          <w:szCs w:val="24"/>
          <w:lang w:val="en-US"/>
        </w:rPr>
        <w:t>. https://api.stat.uz/api/v1.0/data/talim-va-sogliqni-saqlash-xarajatlari?lang=uz&amp;format=pdf</w:t>
      </w:r>
    </w:p>
    <w:p w:rsidR="00FA7906" w:rsidRDefault="00FA7906"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bookmarkStart w:id="0" w:name="_GoBack"/>
      <w:bookmarkEnd w:id="0"/>
      <w:r w:rsidRPr="00FA7906">
        <w:rPr>
          <w:rFonts w:ascii="Times New Roman" w:hAnsi="Times New Roman" w:cs="Times New Roman"/>
          <w:noProof/>
          <w:sz w:val="24"/>
          <w:szCs w:val="24"/>
          <w:lang w:val="en-US"/>
        </w:rPr>
        <w:lastRenderedPageBreak/>
        <w:t xml:space="preserve">The World Bank. (2015). </w:t>
      </w:r>
      <w:r w:rsidRPr="00FA7906">
        <w:rPr>
          <w:rFonts w:ascii="Times New Roman" w:hAnsi="Times New Roman" w:cs="Times New Roman"/>
          <w:i/>
          <w:iCs/>
          <w:noProof/>
          <w:sz w:val="24"/>
          <w:szCs w:val="24"/>
          <w:lang w:val="en-US"/>
        </w:rPr>
        <w:t>IFC MOBILE MONEY SCOPING - COUNTRY REPORT: UZBEKISTAN</w:t>
      </w:r>
      <w:r w:rsidRPr="00FA7906">
        <w:rPr>
          <w:rFonts w:ascii="Times New Roman" w:hAnsi="Times New Roman" w:cs="Times New Roman"/>
          <w:noProof/>
          <w:sz w:val="24"/>
          <w:szCs w:val="24"/>
          <w:lang w:val="en-US"/>
        </w:rPr>
        <w:t xml:space="preserve"> (Issue May). https://www.ifc.org/wps/wcm/connect/4dbe891f-651d-4a69-8bca-7902e61da142/Uzbekistan+Market+Scoping+Report.pdf?MOD=AJPERES&amp;CVID=mCsT80J</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World Bank Group. (2018). Uzbekistan: Education Sector Analysis Final Report. In </w:t>
      </w:r>
      <w:r w:rsidRPr="00FA7906">
        <w:rPr>
          <w:rFonts w:ascii="Times New Roman" w:hAnsi="Times New Roman" w:cs="Times New Roman"/>
          <w:i/>
          <w:iCs/>
          <w:noProof/>
          <w:sz w:val="24"/>
          <w:szCs w:val="24"/>
          <w:lang w:val="en-US"/>
        </w:rPr>
        <w:t>Uzbekistan</w:t>
      </w:r>
      <w:r w:rsidRPr="00FA7906">
        <w:rPr>
          <w:rFonts w:ascii="Times New Roman" w:hAnsi="Times New Roman" w:cs="Times New Roman"/>
          <w:noProof/>
          <w:sz w:val="24"/>
          <w:szCs w:val="24"/>
          <w:lang w:val="en-US"/>
        </w:rPr>
        <w:t>. https://documents.worldbank.org/en/publication/documents-reports/documentdetail/379211551844192053/uzbekistan-education-sector-analysis</w:t>
      </w:r>
    </w:p>
    <w:p w:rsidR="0054222F" w:rsidRPr="00FA7906" w:rsidRDefault="0054222F" w:rsidP="0054222F">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FA7906">
        <w:rPr>
          <w:rFonts w:ascii="Times New Roman" w:hAnsi="Times New Roman" w:cs="Times New Roman"/>
          <w:noProof/>
          <w:sz w:val="24"/>
          <w:szCs w:val="24"/>
          <w:lang w:val="en-US"/>
        </w:rPr>
        <w:t xml:space="preserve">World Education Forum. (2015). </w:t>
      </w:r>
      <w:r w:rsidRPr="00FA7906">
        <w:rPr>
          <w:rFonts w:ascii="Times New Roman" w:hAnsi="Times New Roman" w:cs="Times New Roman"/>
          <w:i/>
          <w:iCs/>
          <w:noProof/>
          <w:sz w:val="24"/>
          <w:szCs w:val="24"/>
          <w:lang w:val="en-US"/>
        </w:rPr>
        <w:t>Uzbekistan Education for All 2015 National Review</w:t>
      </w:r>
      <w:r w:rsidRPr="00FA7906">
        <w:rPr>
          <w:rFonts w:ascii="Times New Roman" w:hAnsi="Times New Roman" w:cs="Times New Roman"/>
          <w:noProof/>
          <w:sz w:val="24"/>
          <w:szCs w:val="24"/>
          <w:lang w:val="en-US"/>
        </w:rPr>
        <w:t>. https://unesdoc.unesco.org/ark:/48223/pf0000230329</w:t>
      </w:r>
    </w:p>
    <w:p w:rsidR="00D45F59" w:rsidRPr="00D45F59" w:rsidRDefault="0054222F" w:rsidP="00D45F59">
      <w:pPr>
        <w:spacing w:after="0" w:line="360" w:lineRule="auto"/>
        <w:jc w:val="both"/>
        <w:rPr>
          <w:rFonts w:ascii="Times New Roman" w:hAnsi="Times New Roman" w:cs="Times New Roman"/>
          <w:sz w:val="36"/>
          <w:lang w:val="en-US"/>
        </w:rPr>
      </w:pPr>
      <w:r w:rsidRPr="0054222F">
        <w:rPr>
          <w:rFonts w:ascii="Times New Roman" w:hAnsi="Times New Roman" w:cs="Times New Roman"/>
          <w:sz w:val="24"/>
          <w:szCs w:val="24"/>
          <w:lang w:val="en-US"/>
        </w:rPr>
        <w:fldChar w:fldCharType="end"/>
      </w:r>
    </w:p>
    <w:sectPr w:rsidR="00D45F59" w:rsidRPr="00D45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inionPro-Regular">
    <w:altName w:val="Malgun Gothic Semilight"/>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3171"/>
    <w:multiLevelType w:val="hybridMultilevel"/>
    <w:tmpl w:val="D9B6D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425E87"/>
    <w:multiLevelType w:val="hybridMultilevel"/>
    <w:tmpl w:val="4AA2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834C63"/>
    <w:multiLevelType w:val="hybridMultilevel"/>
    <w:tmpl w:val="9816F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QxN7EwNjA1MDFV0lEKTi0uzszPAykwrgUANzawqCwAAAA="/>
  </w:docVars>
  <w:rsids>
    <w:rsidRoot w:val="00D45F59"/>
    <w:rsid w:val="001B7EBA"/>
    <w:rsid w:val="00394E96"/>
    <w:rsid w:val="0054222F"/>
    <w:rsid w:val="00D45F59"/>
    <w:rsid w:val="00FA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45C3"/>
  <w15:chartTrackingRefBased/>
  <w15:docId w15:val="{87BDF2AC-FEFC-4009-93D9-824691E4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5F59"/>
    <w:rPr>
      <w:color w:val="0000FF"/>
      <w:u w:val="single"/>
    </w:rPr>
  </w:style>
  <w:style w:type="paragraph" w:styleId="a4">
    <w:name w:val="List Paragraph"/>
    <w:basedOn w:val="a"/>
    <w:uiPriority w:val="34"/>
    <w:qFormat/>
    <w:rsid w:val="00D45F59"/>
    <w:pPr>
      <w:spacing w:after="0" w:line="360" w:lineRule="auto"/>
      <w:ind w:left="720"/>
      <w:contextualSpacing/>
      <w:jc w:val="center"/>
    </w:pPr>
    <w:rPr>
      <w:rFonts w:ascii="Calibri" w:eastAsia="Calibri" w:hAnsi="Calibri" w:cs="Times New Roman"/>
      <w:lang w:val="id-ID"/>
    </w:rPr>
  </w:style>
  <w:style w:type="paragraph" w:customStyle="1" w:styleId="Default">
    <w:name w:val="Default"/>
    <w:rsid w:val="00D45F59"/>
    <w:pPr>
      <w:autoSpaceDE w:val="0"/>
      <w:autoSpaceDN w:val="0"/>
      <w:adjustRightInd w:val="0"/>
      <w:spacing w:after="0" w:line="240" w:lineRule="auto"/>
    </w:pPr>
    <w:rPr>
      <w:rFonts w:ascii="Calibri" w:eastAsia="Calibri" w:hAnsi="Calibri" w:cs="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hongir.shaturaev@tsue.u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1F53-2887-484D-8953-305FC165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10634</Words>
  <Characters>60619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Shaturaev Jakhongir</dc:creator>
  <cp:keywords/>
  <dc:description/>
  <cp:lastModifiedBy>Shaturaev Jakhongir</cp:lastModifiedBy>
  <cp:revision>3</cp:revision>
  <dcterms:created xsi:type="dcterms:W3CDTF">2021-03-02T17:57:00Z</dcterms:created>
  <dcterms:modified xsi:type="dcterms:W3CDTF">2021-04-06T08:30:00Z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e09dfcd5-8567-3dcf-88b0-5ea55745cdb2</vt:lpwstr>
  </property>
  <property fmtid="{D5CDD505-2E9C-101B-9397-08002B2CF9AE}" pid="24" name="Mendeley Citation Style_1">
    <vt:lpwstr>http://www.zotero.org/styles/apa</vt:lpwstr>
  </property>
</Properties>
</file>