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56971" w14:textId="3F0DE982" w:rsidR="004D021B" w:rsidRPr="004F157A" w:rsidRDefault="00BC48D8" w:rsidP="00BC48D8">
      <w:pPr>
        <w:shd w:val="clear" w:color="auto" w:fill="FFFFFF"/>
        <w:spacing w:before="100" w:beforeAutospacing="1" w:after="100" w:afterAutospacing="1" w:line="240" w:lineRule="auto"/>
        <w:rPr>
          <w:rFonts w:ascii="Helvetica Neue" w:eastAsia="Times New Roman" w:hAnsi="Helvetica Neue" w:cs="Times New Roman"/>
          <w:bCs w:val="0"/>
          <w:color w:val="000000" w:themeColor="text1"/>
          <w:szCs w:val="24"/>
          <w:lang w:val="en-US"/>
        </w:rPr>
      </w:pPr>
      <w:r w:rsidRPr="004F157A">
        <w:rPr>
          <w:rFonts w:ascii="Helvetica Neue" w:eastAsia="Times New Roman" w:hAnsi="Helvetica Neue" w:cs="Times New Roman"/>
          <w:b/>
          <w:color w:val="000000" w:themeColor="text1"/>
          <w:szCs w:val="24"/>
          <w:lang w:val="en-US"/>
        </w:rPr>
        <w:t>Track:</w:t>
      </w:r>
      <w:r w:rsidRPr="004F157A">
        <w:rPr>
          <w:rFonts w:ascii="Helvetica Neue" w:eastAsia="Times New Roman" w:hAnsi="Helvetica Neue" w:cs="Times New Roman"/>
          <w:bCs w:val="0"/>
          <w:color w:val="000000" w:themeColor="text1"/>
          <w:szCs w:val="24"/>
          <w:lang w:val="en-US"/>
        </w:rPr>
        <w:t xml:space="preserve"> </w:t>
      </w:r>
      <w:r w:rsidR="00290A61" w:rsidRPr="004F157A">
        <w:rPr>
          <w:rFonts w:ascii="Helvetica Neue" w:eastAsia="Times New Roman" w:hAnsi="Helvetica Neue" w:cs="Times New Roman"/>
          <w:bCs w:val="0"/>
          <w:color w:val="000000" w:themeColor="text1"/>
          <w:szCs w:val="24"/>
          <w:lang w:val="en-US"/>
        </w:rPr>
        <w:t xml:space="preserve">Microcredentials </w:t>
      </w:r>
    </w:p>
    <w:p w14:paraId="72DD0D7C" w14:textId="2CA98B82" w:rsidR="004D021B" w:rsidRPr="004F157A" w:rsidRDefault="004D021B" w:rsidP="004D021B">
      <w:pPr>
        <w:rPr>
          <w:rFonts w:ascii="Arial" w:eastAsia="Times New Roman" w:hAnsi="Arial" w:cs="Arial"/>
          <w:color w:val="000000" w:themeColor="text1"/>
          <w:sz w:val="22"/>
          <w:lang w:val="en-US"/>
        </w:rPr>
      </w:pPr>
      <w:r w:rsidRPr="004F157A">
        <w:rPr>
          <w:rFonts w:ascii="Arial" w:eastAsia="Times New Roman" w:hAnsi="Arial" w:cs="Arial"/>
          <w:b/>
          <w:bCs w:val="0"/>
          <w:color w:val="000000" w:themeColor="text1"/>
          <w:sz w:val="22"/>
        </w:rPr>
        <w:t>Title:</w:t>
      </w:r>
      <w:r w:rsidRPr="004F157A">
        <w:rPr>
          <w:rFonts w:ascii="Arial" w:eastAsia="Times New Roman" w:hAnsi="Arial" w:cs="Arial"/>
          <w:color w:val="000000" w:themeColor="text1"/>
          <w:sz w:val="22"/>
        </w:rPr>
        <w:t xml:space="preserve"> </w:t>
      </w:r>
      <w:r w:rsidR="00B243EC" w:rsidRPr="004F157A">
        <w:rPr>
          <w:rFonts w:ascii="Arial" w:eastAsia="Times New Roman" w:hAnsi="Arial" w:cs="Arial"/>
          <w:color w:val="000000" w:themeColor="text1"/>
          <w:sz w:val="22"/>
          <w:lang w:val="en-US"/>
        </w:rPr>
        <w:t>Embracing Educational Advancement: Harnessing Microcredentials and Digital Badges to Unlock Opportunities</w:t>
      </w:r>
      <w:r w:rsidR="004F157A" w:rsidRPr="004F157A">
        <w:rPr>
          <w:rFonts w:ascii="Arial" w:eastAsia="Times New Roman" w:hAnsi="Arial" w:cs="Arial"/>
          <w:color w:val="000000" w:themeColor="text1"/>
          <w:sz w:val="22"/>
          <w:lang w:val="en-US"/>
        </w:rPr>
        <w:t xml:space="preserve">: An Intended Impact for Universities </w:t>
      </w:r>
    </w:p>
    <w:p w14:paraId="255B40C4" w14:textId="77D852E6" w:rsidR="004D021B" w:rsidRPr="004F157A" w:rsidRDefault="00290A61" w:rsidP="004D021B">
      <w:pPr>
        <w:rPr>
          <w:rFonts w:ascii="Arial" w:eastAsia="Times New Roman" w:hAnsi="Arial" w:cs="Arial"/>
          <w:color w:val="000000" w:themeColor="text1"/>
          <w:sz w:val="22"/>
        </w:rPr>
      </w:pPr>
      <w:r w:rsidRPr="004F157A">
        <w:rPr>
          <w:rFonts w:ascii="Arial" w:eastAsia="Times New Roman" w:hAnsi="Arial" w:cs="Arial"/>
          <w:b/>
          <w:bCs w:val="0"/>
          <w:color w:val="000000" w:themeColor="text1"/>
          <w:sz w:val="22"/>
        </w:rPr>
        <w:t>Presenter:</w:t>
      </w:r>
      <w:r w:rsidRPr="004F157A">
        <w:rPr>
          <w:rFonts w:ascii="Arial" w:eastAsia="Times New Roman" w:hAnsi="Arial" w:cs="Arial"/>
          <w:color w:val="000000" w:themeColor="text1"/>
          <w:sz w:val="22"/>
        </w:rPr>
        <w:t xml:space="preserve"> Harika Rao </w:t>
      </w:r>
    </w:p>
    <w:p w14:paraId="38D05647" w14:textId="73E6BD74" w:rsidR="004D021B" w:rsidRPr="004F157A" w:rsidRDefault="004D021B" w:rsidP="004D021B">
      <w:pPr>
        <w:rPr>
          <w:rFonts w:ascii="Arial" w:eastAsia="Times New Roman" w:hAnsi="Arial" w:cs="Arial"/>
          <w:b/>
          <w:bCs w:val="0"/>
          <w:color w:val="000000" w:themeColor="text1"/>
          <w:sz w:val="22"/>
        </w:rPr>
      </w:pPr>
      <w:r w:rsidRPr="004F157A">
        <w:rPr>
          <w:rFonts w:ascii="Arial" w:eastAsia="Times New Roman" w:hAnsi="Arial" w:cs="Arial"/>
          <w:b/>
          <w:bCs w:val="0"/>
          <w:color w:val="000000" w:themeColor="text1"/>
          <w:sz w:val="22"/>
        </w:rPr>
        <w:t>Abstract:</w:t>
      </w:r>
      <w:r w:rsidR="00312D2A" w:rsidRPr="004F157A">
        <w:rPr>
          <w:rFonts w:ascii="Arial" w:eastAsia="Times New Roman" w:hAnsi="Arial" w:cs="Arial"/>
          <w:b/>
          <w:bCs w:val="0"/>
          <w:color w:val="000000" w:themeColor="text1"/>
          <w:sz w:val="22"/>
        </w:rPr>
        <w:t xml:space="preserve"> </w:t>
      </w:r>
    </w:p>
    <w:p w14:paraId="7589DA0B" w14:textId="13B154C5" w:rsidR="00045022" w:rsidRDefault="0010421A" w:rsidP="004D021B">
      <w:pPr>
        <w:rPr>
          <w:rFonts w:ascii="Arial" w:eastAsia="Times New Roman" w:hAnsi="Arial" w:cs="Arial"/>
          <w:color w:val="000000" w:themeColor="text1"/>
          <w:sz w:val="22"/>
          <w:lang w:val="en-US"/>
        </w:rPr>
      </w:pPr>
      <w:r w:rsidRPr="004F157A">
        <w:rPr>
          <w:rFonts w:ascii="Arial" w:eastAsia="Times New Roman" w:hAnsi="Arial" w:cs="Arial"/>
          <w:color w:val="000000" w:themeColor="text1"/>
          <w:sz w:val="22"/>
        </w:rPr>
        <w:t xml:space="preserve">Higher education in the United States is at </w:t>
      </w:r>
      <w:r w:rsidR="003E362F" w:rsidRPr="004F157A">
        <w:rPr>
          <w:rFonts w:ascii="Arial" w:eastAsia="Times New Roman" w:hAnsi="Arial" w:cs="Arial"/>
          <w:color w:val="000000" w:themeColor="text1"/>
          <w:sz w:val="22"/>
        </w:rPr>
        <w:t>unique cross-roads</w:t>
      </w:r>
      <w:r w:rsidRPr="004F157A">
        <w:rPr>
          <w:rFonts w:ascii="Arial" w:eastAsia="Times New Roman" w:hAnsi="Arial" w:cs="Arial"/>
          <w:color w:val="000000" w:themeColor="text1"/>
          <w:sz w:val="22"/>
        </w:rPr>
        <w:t xml:space="preserve"> with </w:t>
      </w:r>
      <w:r w:rsidR="003E362F" w:rsidRPr="004F157A">
        <w:rPr>
          <w:rFonts w:ascii="Arial" w:eastAsia="Times New Roman" w:hAnsi="Arial" w:cs="Arial"/>
          <w:color w:val="000000" w:themeColor="text1"/>
          <w:sz w:val="22"/>
        </w:rPr>
        <w:t>declining</w:t>
      </w:r>
      <w:r w:rsidRPr="004F157A">
        <w:rPr>
          <w:rFonts w:ascii="Arial" w:eastAsia="Times New Roman" w:hAnsi="Arial" w:cs="Arial"/>
          <w:color w:val="000000" w:themeColor="text1"/>
          <w:sz w:val="22"/>
        </w:rPr>
        <w:t xml:space="preserve"> enrolment, artificial intelligence, and rapidly evolving job market making continuous learning indispensable</w:t>
      </w:r>
      <w:r w:rsidR="006B07F2" w:rsidRPr="004F157A">
        <w:rPr>
          <w:rFonts w:ascii="Arial" w:eastAsia="Times New Roman" w:hAnsi="Arial" w:cs="Arial"/>
          <w:color w:val="000000" w:themeColor="text1"/>
          <w:sz w:val="22"/>
        </w:rPr>
        <w:t xml:space="preserve"> (Blake, 2024)</w:t>
      </w:r>
      <w:r w:rsidRPr="004F157A">
        <w:rPr>
          <w:rFonts w:ascii="Arial" w:eastAsia="Times New Roman" w:hAnsi="Arial" w:cs="Arial"/>
          <w:color w:val="000000" w:themeColor="text1"/>
          <w:sz w:val="22"/>
        </w:rPr>
        <w:t xml:space="preserve">. While the traditional format of teaching and learning has worked its magic for decades, it is time for higher education institutions to re-develop the curriculum to incorporate employable skills through the use badges and microcredentials. </w:t>
      </w:r>
      <w:r w:rsidR="006B07F2" w:rsidRPr="004F157A">
        <w:rPr>
          <w:rFonts w:ascii="Arial" w:eastAsia="Times New Roman" w:hAnsi="Arial" w:cs="Arial"/>
          <w:color w:val="000000" w:themeColor="text1"/>
          <w:sz w:val="22"/>
          <w:lang w:val="en-US"/>
        </w:rPr>
        <w:t xml:space="preserve">Conventional credentials may not always equip individuals with the precise skills demanded. </w:t>
      </w:r>
      <w:r w:rsidRPr="004F157A">
        <w:rPr>
          <w:rFonts w:ascii="Arial" w:eastAsia="Times New Roman" w:hAnsi="Arial" w:cs="Arial"/>
          <w:color w:val="000000" w:themeColor="text1"/>
          <w:sz w:val="22"/>
          <w:lang w:val="en-US"/>
        </w:rPr>
        <w:t>Microcredentials and digital badges represent pioneering solutions. This article explores their significance in higher education, their innovative nature, their influence, and methods for assessing their effectiveness.</w:t>
      </w:r>
    </w:p>
    <w:p w14:paraId="554BED3E" w14:textId="79F071BE" w:rsidR="004F157A" w:rsidRPr="004F157A" w:rsidRDefault="004F157A" w:rsidP="004D021B">
      <w:pPr>
        <w:rPr>
          <w:rFonts w:ascii="Arial" w:eastAsia="Times New Roman" w:hAnsi="Arial" w:cs="Arial"/>
          <w:color w:val="000000" w:themeColor="text1"/>
          <w:sz w:val="22"/>
        </w:rPr>
      </w:pPr>
      <w:r>
        <w:rPr>
          <w:rFonts w:ascii="Arial" w:eastAsia="Times New Roman" w:hAnsi="Arial" w:cs="Arial"/>
          <w:color w:val="000000" w:themeColor="text1"/>
          <w:sz w:val="22"/>
          <w:lang w:val="en-US"/>
        </w:rPr>
        <w:t xml:space="preserve">The purpose of this paper is to draw the attention of educators towards microcredentials to bridge the employability gap through curriculum changes. Implementing microcredentials in the curriculum is an efficient way to encourage and motivate students to learn </w:t>
      </w:r>
      <w:r w:rsidR="003E362F">
        <w:rPr>
          <w:rFonts w:ascii="Arial" w:eastAsia="Times New Roman" w:hAnsi="Arial" w:cs="Arial"/>
          <w:color w:val="000000" w:themeColor="text1"/>
          <w:sz w:val="22"/>
          <w:lang w:val="en-US"/>
        </w:rPr>
        <w:t>to hone</w:t>
      </w:r>
      <w:r>
        <w:rPr>
          <w:rFonts w:ascii="Arial" w:eastAsia="Times New Roman" w:hAnsi="Arial" w:cs="Arial"/>
          <w:color w:val="000000" w:themeColor="text1"/>
          <w:sz w:val="22"/>
          <w:lang w:val="en-US"/>
        </w:rPr>
        <w:t xml:space="preserve"> their skills. The Massive Open Online Access (with microcredentials or digital badges) has been a successful model for alternate credentials for employees. These digital badges are a welcome addition to LinkedIn</w:t>
      </w:r>
      <w:r w:rsidR="00517E25">
        <w:rPr>
          <w:rFonts w:ascii="Arial" w:eastAsia="Times New Roman" w:hAnsi="Arial" w:cs="Arial"/>
          <w:color w:val="000000" w:themeColor="text1"/>
          <w:sz w:val="22"/>
          <w:lang w:val="en-US"/>
        </w:rPr>
        <w:t xml:space="preserve"> (Certify, 2023). </w:t>
      </w:r>
    </w:p>
    <w:p w14:paraId="0E943278" w14:textId="6C69D232" w:rsidR="004D021B" w:rsidRPr="004F157A" w:rsidRDefault="004D021B" w:rsidP="004D021B">
      <w:pPr>
        <w:rPr>
          <w:rFonts w:ascii="Arial" w:eastAsia="Times New Roman" w:hAnsi="Arial" w:cs="Arial"/>
          <w:b/>
          <w:bCs w:val="0"/>
          <w:color w:val="000000" w:themeColor="text1"/>
          <w:sz w:val="22"/>
        </w:rPr>
      </w:pPr>
      <w:r w:rsidRPr="004F157A">
        <w:rPr>
          <w:rFonts w:ascii="Arial" w:eastAsia="Times New Roman" w:hAnsi="Arial" w:cs="Arial"/>
          <w:b/>
          <w:bCs w:val="0"/>
          <w:color w:val="000000" w:themeColor="text1"/>
          <w:sz w:val="22"/>
        </w:rPr>
        <w:t>Introduct</w:t>
      </w:r>
      <w:r w:rsidR="00045022" w:rsidRPr="004F157A">
        <w:rPr>
          <w:rFonts w:ascii="Arial" w:eastAsia="Times New Roman" w:hAnsi="Arial" w:cs="Arial"/>
          <w:b/>
          <w:bCs w:val="0"/>
          <w:color w:val="000000" w:themeColor="text1"/>
          <w:sz w:val="22"/>
        </w:rPr>
        <w:t xml:space="preserve">ion </w:t>
      </w:r>
    </w:p>
    <w:p w14:paraId="32B1C3A6" w14:textId="482D8684" w:rsidR="006B07F2" w:rsidRPr="004F157A" w:rsidRDefault="006B07F2" w:rsidP="004D021B">
      <w:pPr>
        <w:rPr>
          <w:rFonts w:ascii="Arial" w:eastAsia="Times New Roman" w:hAnsi="Arial" w:cs="Arial"/>
          <w:color w:val="000000" w:themeColor="text1"/>
          <w:sz w:val="22"/>
          <w:lang w:val="en-US"/>
        </w:rPr>
      </w:pPr>
      <w:r w:rsidRPr="004F157A">
        <w:rPr>
          <w:rFonts w:ascii="Arial" w:eastAsia="Times New Roman" w:hAnsi="Arial" w:cs="Arial"/>
          <w:color w:val="000000" w:themeColor="text1"/>
          <w:sz w:val="22"/>
          <w:lang w:val="en-US"/>
        </w:rPr>
        <w:t>Microcredentials are competency-based learning models provided by higher education or business which issue learners with a digital badg</w:t>
      </w:r>
      <w:r w:rsidRPr="00382837">
        <w:rPr>
          <w:rFonts w:ascii="Arial" w:eastAsia="Times New Roman" w:hAnsi="Arial" w:cs="Arial"/>
          <w:color w:val="000000" w:themeColor="text1"/>
          <w:sz w:val="22"/>
          <w:lang w:val="en-US"/>
        </w:rPr>
        <w:t>e upon completion (Alamri et al., </w:t>
      </w:r>
      <w:hyperlink r:id="rId5" w:anchor="ref-CR6" w:tooltip="Alamri, H. A., Watson, S., &amp; Watson, W. (2021). Learning technology models that support personalization within blended learning environments in higher education. TechTrends, 65(1), 62–78." w:history="1">
        <w:r w:rsidRPr="00382837">
          <w:rPr>
            <w:rStyle w:val="Hyperlink"/>
            <w:rFonts w:ascii="Arial" w:eastAsia="Times New Roman" w:hAnsi="Arial" w:cs="Arial"/>
            <w:color w:val="000000" w:themeColor="text1"/>
            <w:sz w:val="22"/>
            <w:u w:val="none"/>
            <w:lang w:val="en-US"/>
          </w:rPr>
          <w:t>2021</w:t>
        </w:r>
      </w:hyperlink>
      <w:r w:rsidRPr="00382837">
        <w:rPr>
          <w:rFonts w:ascii="Arial" w:eastAsia="Times New Roman" w:hAnsi="Arial" w:cs="Arial"/>
          <w:color w:val="000000" w:themeColor="text1"/>
          <w:sz w:val="22"/>
          <w:lang w:val="en-US"/>
        </w:rPr>
        <w:t xml:space="preserve">). </w:t>
      </w:r>
      <w:r w:rsidR="009B0977" w:rsidRPr="00382837">
        <w:rPr>
          <w:rFonts w:ascii="Arial" w:eastAsia="Times New Roman" w:hAnsi="Arial" w:cs="Arial"/>
          <w:color w:val="000000" w:themeColor="text1"/>
          <w:sz w:val="22"/>
          <w:lang w:val="en-US"/>
        </w:rPr>
        <w:t>Digital badges</w:t>
      </w:r>
      <w:r w:rsidRPr="00382837">
        <w:rPr>
          <w:rFonts w:ascii="Arial" w:eastAsia="Times New Roman" w:hAnsi="Arial" w:cs="Arial"/>
          <w:color w:val="000000" w:themeColor="text1"/>
          <w:sz w:val="22"/>
          <w:lang w:val="en-US"/>
        </w:rPr>
        <w:t xml:space="preserve"> are therefore a specific form of Microcredentials, providing a visual representation of </w:t>
      </w:r>
      <w:r w:rsidR="009B0977" w:rsidRPr="00382837">
        <w:rPr>
          <w:rFonts w:ascii="Arial" w:eastAsia="Times New Roman" w:hAnsi="Arial" w:cs="Arial"/>
          <w:color w:val="000000" w:themeColor="text1"/>
          <w:sz w:val="22"/>
          <w:lang w:val="en-US"/>
        </w:rPr>
        <w:t>Microcredentials</w:t>
      </w:r>
      <w:r w:rsidRPr="00382837">
        <w:rPr>
          <w:rFonts w:ascii="Arial" w:eastAsia="Times New Roman" w:hAnsi="Arial" w:cs="Arial"/>
          <w:color w:val="FF0000"/>
          <w:sz w:val="22"/>
          <w:lang w:val="en-US"/>
        </w:rPr>
        <w:t xml:space="preserve"> </w:t>
      </w:r>
      <w:r w:rsidRPr="00382837">
        <w:rPr>
          <w:rFonts w:ascii="Arial" w:eastAsia="Times New Roman" w:hAnsi="Arial" w:cs="Arial"/>
          <w:color w:val="000000" w:themeColor="text1"/>
          <w:sz w:val="22"/>
          <w:lang w:val="en-US"/>
        </w:rPr>
        <w:t>completion and a proof of learning or evidence of acquired skills (European_Commission, </w:t>
      </w:r>
      <w:hyperlink r:id="rId6" w:anchor="ref-CR32" w:tooltip="European_Commission. (2020). Final Report: A European Approach to Micro-Credentials. Output of the Microcredentials Higher Education Consultation Group. &#10;                  https://ec.europa.eu/education/sites/default/files/document-library-docs/european-approa" w:history="1">
        <w:r w:rsidRPr="00382837">
          <w:rPr>
            <w:rStyle w:val="Hyperlink"/>
            <w:rFonts w:ascii="Arial" w:eastAsia="Times New Roman" w:hAnsi="Arial" w:cs="Arial"/>
            <w:color w:val="000000" w:themeColor="text1"/>
            <w:sz w:val="22"/>
            <w:u w:val="none"/>
            <w:lang w:val="en-US"/>
          </w:rPr>
          <w:t>2020</w:t>
        </w:r>
      </w:hyperlink>
      <w:r w:rsidRPr="00382837">
        <w:rPr>
          <w:rFonts w:ascii="Arial" w:eastAsia="Times New Roman" w:hAnsi="Arial" w:cs="Arial"/>
          <w:color w:val="000000" w:themeColor="text1"/>
          <w:sz w:val="22"/>
          <w:lang w:val="en-US"/>
        </w:rPr>
        <w:t>; Oliver, </w:t>
      </w:r>
      <w:hyperlink r:id="rId7" w:anchor="ref-CR65" w:tooltip="Oliver, B. (2019). Making micro-credentials work for learners, employers and providers. Retrieved from dteach.deakin.edu.au/microcredentials." w:history="1">
        <w:r w:rsidRPr="00382837">
          <w:rPr>
            <w:rStyle w:val="Hyperlink"/>
            <w:rFonts w:ascii="Arial" w:eastAsia="Times New Roman" w:hAnsi="Arial" w:cs="Arial"/>
            <w:color w:val="000000" w:themeColor="text1"/>
            <w:sz w:val="22"/>
            <w:u w:val="none"/>
            <w:lang w:val="en-US"/>
          </w:rPr>
          <w:t>2019</w:t>
        </w:r>
      </w:hyperlink>
      <w:r w:rsidRPr="00382837">
        <w:rPr>
          <w:rFonts w:ascii="Arial" w:eastAsia="Times New Roman" w:hAnsi="Arial" w:cs="Arial"/>
          <w:color w:val="000000" w:themeColor="text1"/>
          <w:sz w:val="22"/>
          <w:lang w:val="en-US"/>
        </w:rPr>
        <w:t>).</w:t>
      </w:r>
    </w:p>
    <w:p w14:paraId="33B3923E" w14:textId="58F282FA" w:rsidR="004D021B" w:rsidRPr="004F157A" w:rsidRDefault="00045022"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Microcredentials and digital badges provide a flexible and affordable way for students to acquire relevant skills and knowledge throughout their lives. They also support lifelong learning, which is essential in the rapidly changing world we live in. This benefits both learners and employers, as it helps to create a skilled and adaptable workforce. The following sections discuss the various aspects of the topic.</w:t>
      </w:r>
    </w:p>
    <w:p w14:paraId="0AFE3137" w14:textId="6A97A183" w:rsidR="004D021B" w:rsidRPr="004F157A" w:rsidRDefault="004D021B" w:rsidP="004D021B">
      <w:pPr>
        <w:rPr>
          <w:rFonts w:ascii="Arial" w:eastAsia="Times New Roman" w:hAnsi="Arial" w:cs="Arial"/>
          <w:b/>
          <w:bCs w:val="0"/>
          <w:color w:val="000000" w:themeColor="text1"/>
          <w:sz w:val="22"/>
        </w:rPr>
      </w:pPr>
      <w:r w:rsidRPr="004F157A">
        <w:rPr>
          <w:rFonts w:ascii="Arial" w:eastAsia="Times New Roman" w:hAnsi="Arial" w:cs="Arial"/>
          <w:b/>
          <w:bCs w:val="0"/>
          <w:color w:val="000000" w:themeColor="text1"/>
          <w:sz w:val="22"/>
        </w:rPr>
        <w:t>The Problem/Need Addressed:</w:t>
      </w:r>
    </w:p>
    <w:p w14:paraId="667854BD" w14:textId="77777777"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The problem that microcredentials and digital badges address is twofold:</w:t>
      </w:r>
    </w:p>
    <w:p w14:paraId="0C7F8BA6" w14:textId="215A971D"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1. Rapid Skill Obsolescence: Traditional degree programs often struggle to keep up with the constantly changing skills required in the workforce</w:t>
      </w:r>
      <w:r w:rsidR="005367EE" w:rsidRPr="004F157A">
        <w:rPr>
          <w:rFonts w:ascii="Arial" w:eastAsia="Times New Roman" w:hAnsi="Arial" w:cs="Arial"/>
          <w:color w:val="000000" w:themeColor="text1"/>
          <w:sz w:val="22"/>
        </w:rPr>
        <w:t>.</w:t>
      </w:r>
    </w:p>
    <w:p w14:paraId="3BB6A533" w14:textId="2275A40B"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 xml:space="preserve">2. Diverse Learning </w:t>
      </w:r>
      <w:r w:rsidR="003D5C70" w:rsidRPr="004F157A">
        <w:rPr>
          <w:rFonts w:ascii="Arial" w:eastAsia="Times New Roman" w:hAnsi="Arial" w:cs="Arial"/>
          <w:color w:val="000000" w:themeColor="text1"/>
          <w:sz w:val="22"/>
        </w:rPr>
        <w:t>Pathways:</w:t>
      </w:r>
      <w:r w:rsidRPr="004F157A">
        <w:rPr>
          <w:rFonts w:ascii="Arial" w:eastAsia="Times New Roman" w:hAnsi="Arial" w:cs="Arial"/>
          <w:color w:val="000000" w:themeColor="text1"/>
          <w:sz w:val="22"/>
        </w:rPr>
        <w:t xml:space="preserve"> Some seek just-in-time training, while others may already have a degree but need to acquire specific skills. </w:t>
      </w:r>
    </w:p>
    <w:p w14:paraId="4E23813B" w14:textId="561BFF9F" w:rsidR="004D021B" w:rsidRPr="004F157A" w:rsidRDefault="004D021B" w:rsidP="004D021B">
      <w:pPr>
        <w:rPr>
          <w:rFonts w:ascii="Arial" w:eastAsia="Times New Roman" w:hAnsi="Arial" w:cs="Arial"/>
          <w:b/>
          <w:bCs w:val="0"/>
          <w:color w:val="000000" w:themeColor="text1"/>
          <w:sz w:val="22"/>
        </w:rPr>
      </w:pPr>
      <w:r w:rsidRPr="004F157A">
        <w:rPr>
          <w:rFonts w:ascii="Arial" w:eastAsia="Times New Roman" w:hAnsi="Arial" w:cs="Arial"/>
          <w:b/>
          <w:bCs w:val="0"/>
          <w:color w:val="000000" w:themeColor="text1"/>
          <w:sz w:val="22"/>
        </w:rPr>
        <w:t>Innovative Solution:</w:t>
      </w:r>
    </w:p>
    <w:p w14:paraId="78BDCC36" w14:textId="5B2146CC" w:rsidR="004D021B" w:rsidRPr="004F157A" w:rsidRDefault="00941F8F"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Higher education can use the following methods as an innovative solution to the problem:</w:t>
      </w:r>
    </w:p>
    <w:p w14:paraId="334877F7" w14:textId="3EB55DC4"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lastRenderedPageBreak/>
        <w:t xml:space="preserve">1. Granular Competency Assessment: Microcredentials are designed to be granular, focusing on specific skills or knowledge areas allowing </w:t>
      </w:r>
      <w:r w:rsidR="008B7C67" w:rsidRPr="004F157A">
        <w:rPr>
          <w:rFonts w:ascii="Arial" w:eastAsia="Times New Roman" w:hAnsi="Arial" w:cs="Arial"/>
          <w:color w:val="000000" w:themeColor="text1"/>
          <w:sz w:val="22"/>
        </w:rPr>
        <w:t xml:space="preserve">learners </w:t>
      </w:r>
      <w:r w:rsidRPr="004F157A">
        <w:rPr>
          <w:rFonts w:ascii="Arial" w:eastAsia="Times New Roman" w:hAnsi="Arial" w:cs="Arial"/>
          <w:color w:val="000000" w:themeColor="text1"/>
          <w:sz w:val="22"/>
        </w:rPr>
        <w:t>for personalized learning pathways.</w:t>
      </w:r>
    </w:p>
    <w:p w14:paraId="701087BC" w14:textId="71C3E952"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 xml:space="preserve">2. Online and On-Demand: These credentials are typically delivered online, making them accessible to a global audience. </w:t>
      </w:r>
    </w:p>
    <w:p w14:paraId="7C7EDB0F" w14:textId="77777777"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3. Stackability: Microcredentials can be stacked to build a comprehensive, skill-based profile. This stackability allows learners to show their continuous skill development, increasing employability.</w:t>
      </w:r>
    </w:p>
    <w:p w14:paraId="6AFE2CC3" w14:textId="47BE3DA0" w:rsidR="005A632D"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4. Industry-Relevant: Microcredentials are often developed in partnership with industry experts, ensuring that the skills taught are aligned with real-world needs.</w:t>
      </w:r>
    </w:p>
    <w:p w14:paraId="74D1E309" w14:textId="4C802452" w:rsidR="004D021B" w:rsidRPr="004F157A" w:rsidRDefault="004D021B" w:rsidP="004D021B">
      <w:pPr>
        <w:rPr>
          <w:rFonts w:ascii="Arial" w:eastAsia="Times New Roman" w:hAnsi="Arial" w:cs="Arial"/>
          <w:b/>
          <w:bCs w:val="0"/>
          <w:i/>
          <w:iCs/>
          <w:color w:val="000000" w:themeColor="text1"/>
          <w:sz w:val="22"/>
        </w:rPr>
      </w:pPr>
      <w:r w:rsidRPr="004F157A">
        <w:rPr>
          <w:rFonts w:ascii="Arial" w:eastAsia="Times New Roman" w:hAnsi="Arial" w:cs="Arial"/>
          <w:b/>
          <w:bCs w:val="0"/>
          <w:i/>
          <w:iCs/>
          <w:color w:val="000000" w:themeColor="text1"/>
          <w:sz w:val="22"/>
        </w:rPr>
        <w:t>Case Studies:</w:t>
      </w:r>
    </w:p>
    <w:p w14:paraId="1AED83B5" w14:textId="52A47365"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Harvard University's Extension School</w:t>
      </w:r>
      <w:r w:rsidR="004008DF" w:rsidRPr="004F157A">
        <w:rPr>
          <w:rFonts w:ascii="Arial" w:eastAsia="Times New Roman" w:hAnsi="Arial" w:cs="Arial"/>
          <w:color w:val="000000" w:themeColor="text1"/>
          <w:sz w:val="22"/>
        </w:rPr>
        <w:t xml:space="preserve"> </w:t>
      </w:r>
      <w:r w:rsidRPr="004F157A">
        <w:rPr>
          <w:rFonts w:ascii="Arial" w:eastAsia="Times New Roman" w:hAnsi="Arial" w:cs="Arial"/>
          <w:color w:val="000000" w:themeColor="text1"/>
          <w:sz w:val="22"/>
        </w:rPr>
        <w:t xml:space="preserve">offers a wide range of microcredentials through their Harvard Extension School Micro-credential and Digital Badge program. </w:t>
      </w:r>
    </w:p>
    <w:p w14:paraId="1E0C3FDB" w14:textId="387E0AFD"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 xml:space="preserve">IBM has implemented digital badges </w:t>
      </w:r>
      <w:r w:rsidR="004008DF" w:rsidRPr="004F157A">
        <w:rPr>
          <w:rFonts w:ascii="Arial" w:eastAsia="Times New Roman" w:hAnsi="Arial" w:cs="Arial"/>
          <w:color w:val="000000" w:themeColor="text1"/>
          <w:sz w:val="22"/>
        </w:rPr>
        <w:t xml:space="preserve">that </w:t>
      </w:r>
      <w:r w:rsidRPr="004F157A">
        <w:rPr>
          <w:rFonts w:ascii="Arial" w:eastAsia="Times New Roman" w:hAnsi="Arial" w:cs="Arial"/>
          <w:color w:val="000000" w:themeColor="text1"/>
          <w:sz w:val="22"/>
        </w:rPr>
        <w:t>have increased engagement and skill development among employees.</w:t>
      </w:r>
    </w:p>
    <w:p w14:paraId="6327A864" w14:textId="3A39F58C"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 xml:space="preserve">Deakin University's FutureLearn Partnership: Deakin University in Australia has partnered with FutureLearn to offer microcredentials. </w:t>
      </w:r>
    </w:p>
    <w:p w14:paraId="12D65E7D" w14:textId="1D8BC4D7" w:rsidR="004D021B" w:rsidRPr="004F157A" w:rsidRDefault="004D021B" w:rsidP="004D021B">
      <w:pPr>
        <w:rPr>
          <w:rFonts w:ascii="Arial" w:eastAsia="Times New Roman" w:hAnsi="Arial" w:cs="Arial"/>
          <w:b/>
          <w:bCs w:val="0"/>
          <w:color w:val="000000" w:themeColor="text1"/>
          <w:sz w:val="22"/>
        </w:rPr>
      </w:pPr>
      <w:r w:rsidRPr="004F157A">
        <w:rPr>
          <w:rFonts w:ascii="Arial" w:eastAsia="Times New Roman" w:hAnsi="Arial" w:cs="Arial"/>
          <w:b/>
          <w:bCs w:val="0"/>
          <w:color w:val="000000" w:themeColor="text1"/>
          <w:sz w:val="22"/>
        </w:rPr>
        <w:t xml:space="preserve">Impact on </w:t>
      </w:r>
      <w:r w:rsidR="00A0257F" w:rsidRPr="004F157A">
        <w:rPr>
          <w:rFonts w:ascii="Arial" w:eastAsia="Times New Roman" w:hAnsi="Arial" w:cs="Arial"/>
          <w:b/>
          <w:bCs w:val="0"/>
          <w:color w:val="000000" w:themeColor="text1"/>
          <w:sz w:val="22"/>
        </w:rPr>
        <w:t>Universities’</w:t>
      </w:r>
      <w:r w:rsidRPr="004F157A">
        <w:rPr>
          <w:rFonts w:ascii="Arial" w:eastAsia="Times New Roman" w:hAnsi="Arial" w:cs="Arial"/>
          <w:b/>
          <w:bCs w:val="0"/>
          <w:color w:val="000000" w:themeColor="text1"/>
          <w:sz w:val="22"/>
        </w:rPr>
        <w:t xml:space="preserve"> or Intended Impact:</w:t>
      </w:r>
    </w:p>
    <w:p w14:paraId="521EDD8E" w14:textId="77777777"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Microcredentials and digital badges have the potential to transform campuses and learning institutions in several ways:</w:t>
      </w:r>
    </w:p>
    <w:p w14:paraId="2F3AB8D9" w14:textId="5C8E5665"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1. Accessible Lifelong Learning: Campuses become hubs for accessible lifelong learning</w:t>
      </w:r>
      <w:r w:rsidR="006B0FF1" w:rsidRPr="004F157A">
        <w:rPr>
          <w:rFonts w:ascii="Arial" w:eastAsia="Times New Roman" w:hAnsi="Arial" w:cs="Arial"/>
          <w:color w:val="000000" w:themeColor="text1"/>
          <w:sz w:val="22"/>
        </w:rPr>
        <w:t xml:space="preserve"> with diverse learning platforms.</w:t>
      </w:r>
      <w:r w:rsidR="00A32C04">
        <w:rPr>
          <w:rFonts w:ascii="Arial" w:eastAsia="Times New Roman" w:hAnsi="Arial" w:cs="Arial"/>
          <w:color w:val="000000" w:themeColor="text1"/>
          <w:sz w:val="22"/>
        </w:rPr>
        <w:t xml:space="preserve"> </w:t>
      </w:r>
    </w:p>
    <w:p w14:paraId="69C5417A" w14:textId="5B955248"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2. Industry Partnerships: Educational institutions can forge closer ties with industries, ensuring that what they teach remains relevant and aligns with real-world needs.</w:t>
      </w:r>
      <w:r w:rsidR="00A32C04">
        <w:rPr>
          <w:rFonts w:ascii="Arial" w:eastAsia="Times New Roman" w:hAnsi="Arial" w:cs="Arial"/>
          <w:color w:val="000000" w:themeColor="text1"/>
          <w:sz w:val="22"/>
        </w:rPr>
        <w:t xml:space="preserve"> </w:t>
      </w:r>
    </w:p>
    <w:p w14:paraId="45E898E7" w14:textId="0A8289B9"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3. Enhanced Employability: The granular nature of microcredentials equips learners with immediately marketable skills, making them more employable in a competitive job market.</w:t>
      </w:r>
      <w:r w:rsidR="00A32C04">
        <w:rPr>
          <w:rFonts w:ascii="Arial" w:eastAsia="Times New Roman" w:hAnsi="Arial" w:cs="Arial"/>
          <w:color w:val="000000" w:themeColor="text1"/>
          <w:sz w:val="22"/>
        </w:rPr>
        <w:t xml:space="preserve"> </w:t>
      </w:r>
    </w:p>
    <w:p w14:paraId="1D4617B7" w14:textId="12A7936B" w:rsidR="005A632D" w:rsidRPr="004F157A" w:rsidRDefault="005A632D"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Impact on campus</w:t>
      </w:r>
      <w:r w:rsidR="00D52ADD" w:rsidRPr="004F157A">
        <w:rPr>
          <w:rFonts w:ascii="Arial" w:eastAsia="Times New Roman" w:hAnsi="Arial" w:cs="Arial"/>
          <w:color w:val="000000" w:themeColor="text1"/>
          <w:sz w:val="22"/>
        </w:rPr>
        <w:t xml:space="preserve"> currently</w:t>
      </w:r>
      <w:r w:rsidR="00312D2A" w:rsidRPr="004F157A">
        <w:rPr>
          <w:rFonts w:ascii="Arial" w:eastAsia="Times New Roman" w:hAnsi="Arial" w:cs="Arial"/>
          <w:color w:val="000000" w:themeColor="text1"/>
          <w:sz w:val="22"/>
        </w:rPr>
        <w:t xml:space="preserve"> </w:t>
      </w:r>
      <w:r w:rsidR="00B23C71" w:rsidRPr="004F157A">
        <w:rPr>
          <w:rFonts w:ascii="Arial" w:eastAsia="Times New Roman" w:hAnsi="Arial" w:cs="Arial"/>
          <w:color w:val="000000" w:themeColor="text1"/>
          <w:sz w:val="22"/>
        </w:rPr>
        <w:t>at Lynn University, Boca Raton, Florida</w:t>
      </w:r>
    </w:p>
    <w:p w14:paraId="719D08F1" w14:textId="32C84EA7" w:rsidR="005A632D" w:rsidRPr="004F157A" w:rsidRDefault="00B23C71" w:rsidP="005A632D">
      <w:pPr>
        <w:pStyle w:val="ListParagraph"/>
        <w:numPr>
          <w:ilvl w:val="0"/>
          <w:numId w:val="1"/>
        </w:numPr>
        <w:rPr>
          <w:rFonts w:ascii="Arial" w:eastAsia="Times New Roman" w:hAnsi="Arial" w:cs="Arial"/>
          <w:color w:val="000000" w:themeColor="text1"/>
          <w:sz w:val="22"/>
        </w:rPr>
      </w:pPr>
      <w:r w:rsidRPr="004F157A">
        <w:rPr>
          <w:rFonts w:ascii="Arial" w:eastAsia="Times New Roman" w:hAnsi="Arial" w:cs="Arial"/>
          <w:color w:val="000000" w:themeColor="text1"/>
          <w:sz w:val="22"/>
        </w:rPr>
        <w:t>The researcher</w:t>
      </w:r>
      <w:r w:rsidR="004008DF" w:rsidRPr="004F157A">
        <w:rPr>
          <w:rFonts w:ascii="Arial" w:eastAsia="Times New Roman" w:hAnsi="Arial" w:cs="Arial"/>
          <w:color w:val="000000" w:themeColor="text1"/>
          <w:sz w:val="22"/>
        </w:rPr>
        <w:t xml:space="preserve"> </w:t>
      </w:r>
      <w:r w:rsidRPr="004F157A">
        <w:rPr>
          <w:rFonts w:ascii="Arial" w:eastAsia="Times New Roman" w:hAnsi="Arial" w:cs="Arial"/>
          <w:color w:val="000000" w:themeColor="text1"/>
          <w:sz w:val="22"/>
        </w:rPr>
        <w:t>i</w:t>
      </w:r>
      <w:r w:rsidR="005A632D" w:rsidRPr="004F157A">
        <w:rPr>
          <w:rFonts w:ascii="Arial" w:eastAsia="Times New Roman" w:hAnsi="Arial" w:cs="Arial"/>
          <w:color w:val="000000" w:themeColor="text1"/>
          <w:sz w:val="22"/>
        </w:rPr>
        <w:t xml:space="preserve">mplemented badges and </w:t>
      </w:r>
      <w:r w:rsidR="00B07ED6" w:rsidRPr="004F157A">
        <w:rPr>
          <w:rFonts w:ascii="Arial" w:eastAsia="Times New Roman" w:hAnsi="Arial" w:cs="Arial"/>
          <w:color w:val="000000" w:themeColor="text1"/>
          <w:sz w:val="22"/>
        </w:rPr>
        <w:t>Microcredentialing</w:t>
      </w:r>
      <w:r w:rsidR="005A632D" w:rsidRPr="004F157A">
        <w:rPr>
          <w:rFonts w:ascii="Arial" w:eastAsia="Times New Roman" w:hAnsi="Arial" w:cs="Arial"/>
          <w:color w:val="000000" w:themeColor="text1"/>
          <w:sz w:val="22"/>
        </w:rPr>
        <w:t xml:space="preserve"> in one undergraduate and graduate course in the College of Business and Management. The implementation has been successful and looking forward towards a co-curricular transcript to benefit students across the university. </w:t>
      </w:r>
    </w:p>
    <w:p w14:paraId="2D9043AC" w14:textId="4443ED71" w:rsidR="005A632D" w:rsidRPr="004F157A" w:rsidRDefault="005A632D" w:rsidP="005A632D">
      <w:pPr>
        <w:pStyle w:val="ListParagraph"/>
        <w:numPr>
          <w:ilvl w:val="0"/>
          <w:numId w:val="1"/>
        </w:numPr>
        <w:rPr>
          <w:rFonts w:ascii="Arial" w:eastAsia="Times New Roman" w:hAnsi="Arial" w:cs="Arial"/>
          <w:color w:val="000000" w:themeColor="text1"/>
          <w:sz w:val="22"/>
        </w:rPr>
      </w:pPr>
      <w:r w:rsidRPr="004F157A">
        <w:rPr>
          <w:rFonts w:ascii="Arial" w:eastAsia="Times New Roman" w:hAnsi="Arial" w:cs="Arial"/>
          <w:color w:val="000000" w:themeColor="text1"/>
          <w:sz w:val="22"/>
        </w:rPr>
        <w:t xml:space="preserve">Successful implementation of Career Development and Preparation courses in the undergraduate curriculum with certification and looking ahead in the next academic </w:t>
      </w:r>
      <w:r w:rsidR="003D5C70" w:rsidRPr="004F157A">
        <w:rPr>
          <w:rFonts w:ascii="Arial" w:eastAsia="Times New Roman" w:hAnsi="Arial" w:cs="Arial"/>
          <w:color w:val="000000" w:themeColor="text1"/>
          <w:sz w:val="22"/>
        </w:rPr>
        <w:t>year towards</w:t>
      </w:r>
      <w:r w:rsidRPr="004F157A">
        <w:rPr>
          <w:rFonts w:ascii="Arial" w:eastAsia="Times New Roman" w:hAnsi="Arial" w:cs="Arial"/>
          <w:color w:val="000000" w:themeColor="text1"/>
          <w:sz w:val="22"/>
        </w:rPr>
        <w:t xml:space="preserve"> </w:t>
      </w:r>
      <w:r w:rsidR="003D5C70" w:rsidRPr="004F157A">
        <w:rPr>
          <w:rFonts w:ascii="Arial" w:eastAsia="Times New Roman" w:hAnsi="Arial" w:cs="Arial"/>
          <w:color w:val="000000" w:themeColor="text1"/>
          <w:sz w:val="22"/>
        </w:rPr>
        <w:t>Micro credentialing</w:t>
      </w:r>
      <w:r w:rsidRPr="004F157A">
        <w:rPr>
          <w:rFonts w:ascii="Arial" w:eastAsia="Times New Roman" w:hAnsi="Arial" w:cs="Arial"/>
          <w:color w:val="000000" w:themeColor="text1"/>
          <w:sz w:val="22"/>
        </w:rPr>
        <w:t xml:space="preserve"> along with co-curricular transcript</w:t>
      </w:r>
      <w:r w:rsidR="00B23C71" w:rsidRPr="004F157A">
        <w:rPr>
          <w:rFonts w:ascii="Arial" w:eastAsia="Times New Roman" w:hAnsi="Arial" w:cs="Arial"/>
          <w:color w:val="000000" w:themeColor="text1"/>
          <w:sz w:val="22"/>
        </w:rPr>
        <w:t xml:space="preserve"> will provide a better sense of understanding and holistic use of badges and microcredentials, adding value to its use in higher education.</w:t>
      </w:r>
    </w:p>
    <w:p w14:paraId="3CF0B72F" w14:textId="11C60B6E" w:rsidR="004D021B" w:rsidRPr="004F157A" w:rsidRDefault="004D021B" w:rsidP="004D021B">
      <w:pPr>
        <w:rPr>
          <w:rFonts w:ascii="Arial" w:eastAsia="Times New Roman" w:hAnsi="Arial" w:cs="Arial"/>
          <w:b/>
          <w:bCs w:val="0"/>
          <w:color w:val="000000" w:themeColor="text1"/>
          <w:sz w:val="22"/>
        </w:rPr>
      </w:pPr>
      <w:r w:rsidRPr="004F157A">
        <w:rPr>
          <w:rFonts w:ascii="Arial" w:eastAsia="Times New Roman" w:hAnsi="Arial" w:cs="Arial"/>
          <w:b/>
          <w:bCs w:val="0"/>
          <w:color w:val="000000" w:themeColor="text1"/>
          <w:sz w:val="22"/>
        </w:rPr>
        <w:t>Measuring the Impact:</w:t>
      </w:r>
    </w:p>
    <w:p w14:paraId="7C0C4051" w14:textId="77777777"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Measuring the impact of microcredentials and digital badges on campuses is crucial. Here are some methods:</w:t>
      </w:r>
    </w:p>
    <w:p w14:paraId="60036179" w14:textId="72461601"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lastRenderedPageBreak/>
        <w:t xml:space="preserve">1. Learner Outcomes: </w:t>
      </w:r>
      <w:r w:rsidR="008B7C67" w:rsidRPr="004F157A">
        <w:rPr>
          <w:rFonts w:ascii="Arial" w:eastAsia="Times New Roman" w:hAnsi="Arial" w:cs="Arial"/>
          <w:color w:val="000000" w:themeColor="text1"/>
          <w:sz w:val="22"/>
        </w:rPr>
        <w:t>L</w:t>
      </w:r>
      <w:r w:rsidRPr="004F157A">
        <w:rPr>
          <w:rFonts w:ascii="Arial" w:eastAsia="Times New Roman" w:hAnsi="Arial" w:cs="Arial"/>
          <w:color w:val="000000" w:themeColor="text1"/>
          <w:sz w:val="22"/>
        </w:rPr>
        <w:t xml:space="preserve">earner outcomes, such as job placements, promotions, and salary </w:t>
      </w:r>
      <w:r w:rsidR="003D5C70" w:rsidRPr="004F157A">
        <w:rPr>
          <w:rFonts w:ascii="Arial" w:eastAsia="Times New Roman" w:hAnsi="Arial" w:cs="Arial"/>
          <w:color w:val="000000" w:themeColor="text1"/>
          <w:sz w:val="22"/>
        </w:rPr>
        <w:t>increase</w:t>
      </w:r>
      <w:r w:rsidRPr="004F157A">
        <w:rPr>
          <w:rFonts w:ascii="Arial" w:eastAsia="Times New Roman" w:hAnsi="Arial" w:cs="Arial"/>
          <w:color w:val="000000" w:themeColor="text1"/>
          <w:sz w:val="22"/>
        </w:rPr>
        <w:t>,</w:t>
      </w:r>
      <w:r w:rsidR="008B7C67" w:rsidRPr="004F157A">
        <w:rPr>
          <w:rFonts w:ascii="Arial" w:eastAsia="Times New Roman" w:hAnsi="Arial" w:cs="Arial"/>
          <w:color w:val="000000" w:themeColor="text1"/>
          <w:sz w:val="22"/>
        </w:rPr>
        <w:t xml:space="preserve"> can be monitored to gauge effectiveness of the programs. </w:t>
      </w:r>
    </w:p>
    <w:p w14:paraId="53200BAC" w14:textId="391B7A4E"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 xml:space="preserve">2. </w:t>
      </w:r>
      <w:r w:rsidR="00B243EC" w:rsidRPr="004F157A">
        <w:rPr>
          <w:rFonts w:ascii="Arial" w:eastAsia="Times New Roman" w:hAnsi="Arial" w:cs="Arial"/>
          <w:color w:val="000000" w:themeColor="text1"/>
          <w:sz w:val="22"/>
        </w:rPr>
        <w:t>Enrolment</w:t>
      </w:r>
      <w:r w:rsidRPr="004F157A">
        <w:rPr>
          <w:rFonts w:ascii="Arial" w:eastAsia="Times New Roman" w:hAnsi="Arial" w:cs="Arial"/>
          <w:color w:val="000000" w:themeColor="text1"/>
          <w:sz w:val="22"/>
        </w:rPr>
        <w:t xml:space="preserve"> Data: Analy</w:t>
      </w:r>
      <w:r w:rsidR="00995C2E" w:rsidRPr="004F157A">
        <w:rPr>
          <w:rFonts w:ascii="Arial" w:eastAsia="Times New Roman" w:hAnsi="Arial" w:cs="Arial"/>
          <w:color w:val="000000" w:themeColor="text1"/>
          <w:sz w:val="22"/>
        </w:rPr>
        <w:t>sis of enrolment</w:t>
      </w:r>
      <w:r w:rsidRPr="004F157A">
        <w:rPr>
          <w:rFonts w:ascii="Arial" w:eastAsia="Times New Roman" w:hAnsi="Arial" w:cs="Arial"/>
          <w:color w:val="000000" w:themeColor="text1"/>
          <w:sz w:val="22"/>
        </w:rPr>
        <w:t xml:space="preserve"> data to track the adoption of microcredentials and the shifting demographics of the student bod</w:t>
      </w:r>
      <w:r w:rsidR="00995C2E" w:rsidRPr="004F157A">
        <w:rPr>
          <w:rFonts w:ascii="Arial" w:eastAsia="Times New Roman" w:hAnsi="Arial" w:cs="Arial"/>
          <w:color w:val="000000" w:themeColor="text1"/>
          <w:sz w:val="22"/>
        </w:rPr>
        <w:t>y are other metrics.</w:t>
      </w:r>
    </w:p>
    <w:p w14:paraId="555702C1" w14:textId="0CDC8CC5"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3. Feedback</w:t>
      </w:r>
      <w:r w:rsidR="008B7C67" w:rsidRPr="004F157A">
        <w:rPr>
          <w:rFonts w:ascii="Arial" w:eastAsia="Times New Roman" w:hAnsi="Arial" w:cs="Arial"/>
          <w:color w:val="000000" w:themeColor="text1"/>
          <w:sz w:val="22"/>
        </w:rPr>
        <w:t xml:space="preserve"> from industry and </w:t>
      </w:r>
      <w:r w:rsidR="00B243EC" w:rsidRPr="004F157A">
        <w:rPr>
          <w:rFonts w:ascii="Arial" w:eastAsia="Times New Roman" w:hAnsi="Arial" w:cs="Arial"/>
          <w:color w:val="000000" w:themeColor="text1"/>
          <w:sz w:val="22"/>
        </w:rPr>
        <w:t>learners</w:t>
      </w:r>
      <w:r w:rsidRPr="004F157A">
        <w:rPr>
          <w:rFonts w:ascii="Arial" w:eastAsia="Times New Roman" w:hAnsi="Arial" w:cs="Arial"/>
          <w:color w:val="000000" w:themeColor="text1"/>
          <w:sz w:val="22"/>
        </w:rPr>
        <w:t xml:space="preserve">: </w:t>
      </w:r>
      <w:r w:rsidR="008B7C67" w:rsidRPr="004F157A">
        <w:rPr>
          <w:rFonts w:ascii="Arial" w:eastAsia="Times New Roman" w:hAnsi="Arial" w:cs="Arial"/>
          <w:color w:val="000000" w:themeColor="text1"/>
          <w:sz w:val="22"/>
        </w:rPr>
        <w:t xml:space="preserve">Periodical </w:t>
      </w:r>
      <w:r w:rsidR="003D5C70" w:rsidRPr="004F157A">
        <w:rPr>
          <w:rFonts w:ascii="Arial" w:eastAsia="Times New Roman" w:hAnsi="Arial" w:cs="Arial"/>
          <w:color w:val="000000" w:themeColor="text1"/>
          <w:sz w:val="22"/>
        </w:rPr>
        <w:t>feedback on</w:t>
      </w:r>
      <w:r w:rsidRPr="004F157A">
        <w:rPr>
          <w:rFonts w:ascii="Arial" w:eastAsia="Times New Roman" w:hAnsi="Arial" w:cs="Arial"/>
          <w:color w:val="000000" w:themeColor="text1"/>
          <w:sz w:val="22"/>
        </w:rPr>
        <w:t xml:space="preserve"> the preparedness and skills of graduates can help tailor offerings to industry</w:t>
      </w:r>
      <w:r w:rsidR="008B7C67" w:rsidRPr="004F157A">
        <w:rPr>
          <w:rFonts w:ascii="Arial" w:eastAsia="Times New Roman" w:hAnsi="Arial" w:cs="Arial"/>
          <w:color w:val="000000" w:themeColor="text1"/>
          <w:sz w:val="22"/>
        </w:rPr>
        <w:t xml:space="preserve"> and learners’</w:t>
      </w:r>
      <w:r w:rsidRPr="004F157A">
        <w:rPr>
          <w:rFonts w:ascii="Arial" w:eastAsia="Times New Roman" w:hAnsi="Arial" w:cs="Arial"/>
          <w:color w:val="000000" w:themeColor="text1"/>
          <w:sz w:val="22"/>
        </w:rPr>
        <w:t xml:space="preserve"> need</w:t>
      </w:r>
      <w:r w:rsidR="008B7C67" w:rsidRPr="004F157A">
        <w:rPr>
          <w:rFonts w:ascii="Arial" w:eastAsia="Times New Roman" w:hAnsi="Arial" w:cs="Arial"/>
          <w:color w:val="000000" w:themeColor="text1"/>
          <w:sz w:val="22"/>
        </w:rPr>
        <w:t>s and expectations.</w:t>
      </w:r>
    </w:p>
    <w:p w14:paraId="4DBA9759" w14:textId="160B2760" w:rsidR="004D021B" w:rsidRDefault="008B7C67"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4</w:t>
      </w:r>
      <w:r w:rsidR="004D021B" w:rsidRPr="004F157A">
        <w:rPr>
          <w:rFonts w:ascii="Arial" w:eastAsia="Times New Roman" w:hAnsi="Arial" w:cs="Arial"/>
          <w:color w:val="000000" w:themeColor="text1"/>
          <w:sz w:val="22"/>
        </w:rPr>
        <w:t xml:space="preserve">. Cost-Benefit Analysis: </w:t>
      </w:r>
      <w:r w:rsidR="00995C2E" w:rsidRPr="004F157A">
        <w:rPr>
          <w:rFonts w:ascii="Arial" w:eastAsia="Times New Roman" w:hAnsi="Arial" w:cs="Arial"/>
          <w:color w:val="000000" w:themeColor="text1"/>
          <w:sz w:val="22"/>
        </w:rPr>
        <w:t>Evaluating the f</w:t>
      </w:r>
      <w:r w:rsidR="004D021B" w:rsidRPr="004F157A">
        <w:rPr>
          <w:rFonts w:ascii="Arial" w:eastAsia="Times New Roman" w:hAnsi="Arial" w:cs="Arial"/>
          <w:color w:val="000000" w:themeColor="text1"/>
          <w:sz w:val="22"/>
        </w:rPr>
        <w:t>inancial implications of integrating microcredentials</w:t>
      </w:r>
      <w:r w:rsidR="00995C2E" w:rsidRPr="004F157A">
        <w:rPr>
          <w:rFonts w:ascii="Arial" w:eastAsia="Times New Roman" w:hAnsi="Arial" w:cs="Arial"/>
          <w:color w:val="000000" w:themeColor="text1"/>
          <w:sz w:val="22"/>
        </w:rPr>
        <w:t xml:space="preserve"> can be an important performance measure. </w:t>
      </w:r>
    </w:p>
    <w:p w14:paraId="59B92726" w14:textId="237ED350" w:rsidR="00A0257F" w:rsidRDefault="00A0257F" w:rsidP="004D021B">
      <w:pPr>
        <w:rPr>
          <w:rFonts w:ascii="Arial" w:eastAsia="Times New Roman" w:hAnsi="Arial" w:cs="Arial"/>
          <w:b/>
          <w:bCs w:val="0"/>
          <w:color w:val="000000" w:themeColor="text1"/>
          <w:sz w:val="22"/>
        </w:rPr>
      </w:pPr>
      <w:r w:rsidRPr="00A0257F">
        <w:rPr>
          <w:rFonts w:ascii="Arial" w:eastAsia="Times New Roman" w:hAnsi="Arial" w:cs="Arial"/>
          <w:b/>
          <w:bCs w:val="0"/>
          <w:color w:val="000000" w:themeColor="text1"/>
          <w:sz w:val="22"/>
        </w:rPr>
        <w:t>Accreditation:</w:t>
      </w:r>
    </w:p>
    <w:p w14:paraId="537D7429" w14:textId="69D2BF0C" w:rsidR="00A0257F" w:rsidRPr="00A0257F" w:rsidRDefault="00A0257F" w:rsidP="004D021B">
      <w:pPr>
        <w:rPr>
          <w:rFonts w:ascii="Arial" w:eastAsia="Times New Roman" w:hAnsi="Arial" w:cs="Arial"/>
          <w:b/>
          <w:bCs w:val="0"/>
          <w:color w:val="000000" w:themeColor="text1"/>
          <w:sz w:val="22"/>
          <w:lang w:val="en-US"/>
        </w:rPr>
      </w:pPr>
      <w:r w:rsidRPr="00A0257F">
        <w:rPr>
          <w:rFonts w:ascii="Arial" w:eastAsia="Times New Roman" w:hAnsi="Arial" w:cs="Arial"/>
          <w:color w:val="000000" w:themeColor="text1"/>
          <w:sz w:val="22"/>
        </w:rPr>
        <w:t>Accrediting bodies have policies defining microcredentials and ways to be in compliance with the policies. Universities can refer to their respective accrediting rules to ensure the implementation is appropriate</w:t>
      </w:r>
      <w:r>
        <w:rPr>
          <w:rFonts w:ascii="Arial" w:eastAsia="Times New Roman" w:hAnsi="Arial" w:cs="Arial"/>
          <w:b/>
          <w:bCs w:val="0"/>
          <w:color w:val="000000" w:themeColor="text1"/>
          <w:sz w:val="22"/>
        </w:rPr>
        <w:t xml:space="preserve">. </w:t>
      </w:r>
      <w:r w:rsidRPr="00A0257F">
        <w:rPr>
          <w:rFonts w:ascii="Arial" w:eastAsia="Times New Roman" w:hAnsi="Arial" w:cs="Arial"/>
          <w:color w:val="000000" w:themeColor="text1"/>
          <w:sz w:val="22"/>
        </w:rPr>
        <w:t xml:space="preserve">An example of the policy from the </w:t>
      </w:r>
      <w:r w:rsidRPr="00A0257F">
        <w:rPr>
          <w:rFonts w:ascii="Arial" w:eastAsia="Times New Roman" w:hAnsi="Arial" w:cs="Arial"/>
          <w:color w:val="000000" w:themeColor="text1"/>
          <w:sz w:val="22"/>
          <w:lang w:val="en-US"/>
        </w:rPr>
        <w:t>Southern Association of Colleges and Schools Commission on Colleges</w:t>
      </w:r>
      <w:r w:rsidR="00DF4C93">
        <w:rPr>
          <w:rFonts w:ascii="Arial" w:eastAsia="Times New Roman" w:hAnsi="Arial" w:cs="Arial"/>
          <w:color w:val="000000" w:themeColor="text1"/>
          <w:sz w:val="22"/>
          <w:lang w:val="en-US"/>
        </w:rPr>
        <w:t xml:space="preserve">, </w:t>
      </w:r>
      <w:r w:rsidR="00DF4C93" w:rsidRPr="00382837">
        <w:rPr>
          <w:rFonts w:ascii="Arial" w:eastAsia="Times New Roman" w:hAnsi="Arial" w:cs="Arial"/>
          <w:color w:val="000000" w:themeColor="text1"/>
          <w:sz w:val="22"/>
          <w:lang w:val="en-US"/>
        </w:rPr>
        <w:t>USA</w:t>
      </w:r>
      <w:r w:rsidRPr="00382837">
        <w:rPr>
          <w:rFonts w:ascii="Arial" w:eastAsia="Times New Roman" w:hAnsi="Arial" w:cs="Arial"/>
          <w:color w:val="000000" w:themeColor="text1"/>
          <w:sz w:val="22"/>
          <w:lang w:val="en-US"/>
        </w:rPr>
        <w:t xml:space="preserve"> </w:t>
      </w:r>
      <w:r w:rsidRPr="00A0257F">
        <w:rPr>
          <w:rFonts w:ascii="Arial" w:eastAsia="Times New Roman" w:hAnsi="Arial" w:cs="Arial"/>
          <w:color w:val="000000" w:themeColor="text1"/>
          <w:sz w:val="22"/>
          <w:lang w:val="en-US"/>
        </w:rPr>
        <w:t>is</w:t>
      </w:r>
      <w:r>
        <w:rPr>
          <w:rFonts w:ascii="Arial" w:eastAsia="Times New Roman" w:hAnsi="Arial" w:cs="Arial"/>
          <w:color w:val="000000" w:themeColor="text1"/>
          <w:sz w:val="22"/>
          <w:lang w:val="en-US"/>
        </w:rPr>
        <w:t xml:space="preserve"> “</w:t>
      </w:r>
      <w:r w:rsidRPr="00A0257F">
        <w:rPr>
          <w:rFonts w:ascii="Arial" w:eastAsia="Times New Roman" w:hAnsi="Arial" w:cs="Arial"/>
          <w:color w:val="000000" w:themeColor="text1"/>
          <w:sz w:val="22"/>
          <w:lang w:val="en-US"/>
        </w:rPr>
        <w:t>For accreditation purposes, “non-degree credentials” include a variety of programs offering narrowly focused areas of study where learners demonstrate mastery of knowledge, skills, abilities, and/or competencies</w:t>
      </w:r>
      <w:r w:rsidRPr="00382837">
        <w:rPr>
          <w:rFonts w:ascii="Arial" w:eastAsia="Times New Roman" w:hAnsi="Arial" w:cs="Arial"/>
          <w:color w:val="000000" w:themeColor="text1"/>
          <w:sz w:val="22"/>
          <w:lang w:val="en-US"/>
        </w:rPr>
        <w:t>. A non-degree credential typically covers more than a traditional three-four credit hour course but less content than a full degree. Non-Degree Credentials vary in content, instructional level (associates, baccalaureate, masters, etc.), length, method of instructional delivery, credit awarded, and professional or occupational focus. They may be offered “for-credit” or “not-for-credit. The method of instructional delivery may be via distance education, in person, or through a combination. In all cases, the academic rigor of non-degree credentials matches the quality of other institutional credentials, regardless of whether academic credit is awarded for instruction provided by the institution, awarded for external credit (i.e., by transfer of credit from another institution), or awarded for credit through a collaborative academic arrangement.” (SACSCOC, 2024).</w:t>
      </w:r>
      <w:r>
        <w:rPr>
          <w:rFonts w:ascii="Arial" w:eastAsia="Times New Roman" w:hAnsi="Arial" w:cs="Arial"/>
          <w:color w:val="000000" w:themeColor="text1"/>
          <w:sz w:val="22"/>
          <w:lang w:val="en-US"/>
        </w:rPr>
        <w:t xml:space="preserve"> </w:t>
      </w:r>
    </w:p>
    <w:p w14:paraId="2511C2FE" w14:textId="51AF237D" w:rsidR="003B3921" w:rsidRPr="004F157A" w:rsidRDefault="003B3921" w:rsidP="004D021B">
      <w:pPr>
        <w:rPr>
          <w:rFonts w:ascii="Arial" w:eastAsia="Times New Roman" w:hAnsi="Arial" w:cs="Arial"/>
          <w:b/>
          <w:bCs w:val="0"/>
          <w:color w:val="000000" w:themeColor="text1"/>
          <w:sz w:val="22"/>
        </w:rPr>
      </w:pPr>
      <w:r w:rsidRPr="004F157A">
        <w:rPr>
          <w:rFonts w:ascii="Arial" w:eastAsia="Times New Roman" w:hAnsi="Arial" w:cs="Arial"/>
          <w:b/>
          <w:bCs w:val="0"/>
          <w:color w:val="000000" w:themeColor="text1"/>
          <w:sz w:val="22"/>
        </w:rPr>
        <w:t>Conclusion</w:t>
      </w:r>
    </w:p>
    <w:p w14:paraId="3E725C64" w14:textId="34081FEA" w:rsidR="004D021B" w:rsidRPr="004F157A" w:rsidRDefault="003B3921"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Microcredentials and digital badges are transforming education by meeting the rising demand for lifelong learning and skill development. They offer a flexible, granular, and industry-aligned solution that can make education more accessible, relevant, and diverse on campuses. Measuring the impact of these innovations is essential to ensure that they are fulfilling their potential and reshaping the higher education landscape.</w:t>
      </w:r>
    </w:p>
    <w:p w14:paraId="0C775773" w14:textId="77777777" w:rsidR="00290A61" w:rsidRPr="004F157A" w:rsidRDefault="00290A61" w:rsidP="00290A61">
      <w:pPr>
        <w:shd w:val="clear" w:color="auto" w:fill="FFFFFF"/>
        <w:spacing w:before="100" w:beforeAutospacing="1" w:after="100" w:afterAutospacing="1"/>
        <w:rPr>
          <w:rFonts w:ascii="Arial" w:hAnsi="Arial" w:cs="Arial"/>
          <w:color w:val="000000" w:themeColor="text1"/>
          <w:sz w:val="22"/>
        </w:rPr>
      </w:pPr>
      <w:r w:rsidRPr="004F157A">
        <w:rPr>
          <w:rFonts w:ascii="Arial" w:hAnsi="Arial" w:cs="Arial"/>
          <w:b/>
          <w:color w:val="000000" w:themeColor="text1"/>
          <w:sz w:val="22"/>
        </w:rPr>
        <w:t>Session Format</w:t>
      </w:r>
      <w:r w:rsidRPr="004F157A">
        <w:rPr>
          <w:rFonts w:ascii="Arial" w:hAnsi="Arial" w:cs="Arial"/>
          <w:color w:val="000000" w:themeColor="text1"/>
          <w:sz w:val="22"/>
        </w:rPr>
        <w:t>: Presentation</w:t>
      </w:r>
    </w:p>
    <w:p w14:paraId="444F2FCF" w14:textId="3987E9F0" w:rsidR="004D021B" w:rsidRPr="004F157A" w:rsidRDefault="004D021B" w:rsidP="005A632D">
      <w:pPr>
        <w:rPr>
          <w:rFonts w:ascii="Arial" w:eastAsia="Times New Roman" w:hAnsi="Arial" w:cs="Arial"/>
          <w:b/>
          <w:bCs w:val="0"/>
          <w:color w:val="000000" w:themeColor="text1"/>
          <w:sz w:val="22"/>
        </w:rPr>
      </w:pPr>
      <w:r w:rsidRPr="004F157A">
        <w:rPr>
          <w:rFonts w:ascii="Arial" w:eastAsia="Times New Roman" w:hAnsi="Arial" w:cs="Arial"/>
          <w:b/>
          <w:bCs w:val="0"/>
          <w:color w:val="000000" w:themeColor="text1"/>
          <w:sz w:val="22"/>
        </w:rPr>
        <w:t>References</w:t>
      </w:r>
    </w:p>
    <w:p w14:paraId="2E266D56" w14:textId="3D34FBE5" w:rsidR="005C337E" w:rsidRPr="004F157A" w:rsidRDefault="005C337E" w:rsidP="005A632D">
      <w:pPr>
        <w:rPr>
          <w:rFonts w:ascii="Arial" w:eastAsia="Times New Roman" w:hAnsi="Arial" w:cs="Arial"/>
          <w:color w:val="000000" w:themeColor="text1"/>
          <w:sz w:val="22"/>
          <w:lang w:val="en-US"/>
        </w:rPr>
      </w:pPr>
      <w:r w:rsidRPr="004F157A">
        <w:rPr>
          <w:rFonts w:ascii="Arial" w:eastAsia="Times New Roman" w:hAnsi="Arial" w:cs="Arial"/>
          <w:color w:val="000000" w:themeColor="text1"/>
          <w:sz w:val="22"/>
          <w:lang w:val="en-US"/>
        </w:rPr>
        <w:t>Alamri, H. A., Watson, S., &amp; Watson, W. (2021). Learning technology models that support personalization within blended learning environments in higher education. </w:t>
      </w:r>
      <w:r w:rsidRPr="004F157A">
        <w:rPr>
          <w:rFonts w:ascii="Arial" w:eastAsia="Times New Roman" w:hAnsi="Arial" w:cs="Arial"/>
          <w:i/>
          <w:iCs/>
          <w:color w:val="000000" w:themeColor="text1"/>
          <w:sz w:val="22"/>
          <w:lang w:val="en-US"/>
        </w:rPr>
        <w:t>TechTrends,</w:t>
      </w:r>
      <w:r w:rsidRPr="004F157A">
        <w:rPr>
          <w:rFonts w:ascii="Arial" w:eastAsia="Times New Roman" w:hAnsi="Arial" w:cs="Arial"/>
          <w:color w:val="000000" w:themeColor="text1"/>
          <w:sz w:val="22"/>
          <w:lang w:val="en-US"/>
        </w:rPr>
        <w:t> </w:t>
      </w:r>
      <w:r w:rsidRPr="004F157A">
        <w:rPr>
          <w:rFonts w:ascii="Arial" w:eastAsia="Times New Roman" w:hAnsi="Arial" w:cs="Arial"/>
          <w:i/>
          <w:iCs/>
          <w:color w:val="000000" w:themeColor="text1"/>
          <w:sz w:val="22"/>
          <w:lang w:val="en-US"/>
        </w:rPr>
        <w:t>65</w:t>
      </w:r>
      <w:r w:rsidRPr="004F157A">
        <w:rPr>
          <w:rFonts w:ascii="Arial" w:eastAsia="Times New Roman" w:hAnsi="Arial" w:cs="Arial"/>
          <w:color w:val="000000" w:themeColor="text1"/>
          <w:sz w:val="22"/>
          <w:lang w:val="en-US"/>
        </w:rPr>
        <w:t>(1), 62–78.</w:t>
      </w:r>
    </w:p>
    <w:p w14:paraId="1D3CC856" w14:textId="2FC06AA4" w:rsidR="006B07F2" w:rsidRDefault="006B07F2" w:rsidP="005A632D">
      <w:pPr>
        <w:rPr>
          <w:rFonts w:ascii="Arial" w:eastAsia="Times New Roman" w:hAnsi="Arial" w:cs="Arial"/>
          <w:color w:val="000000" w:themeColor="text1"/>
          <w:sz w:val="22"/>
          <w:lang w:val="en-US"/>
        </w:rPr>
      </w:pPr>
      <w:r w:rsidRPr="004F157A">
        <w:rPr>
          <w:rFonts w:ascii="Arial" w:eastAsia="Times New Roman" w:hAnsi="Arial" w:cs="Arial"/>
          <w:color w:val="000000" w:themeColor="text1"/>
          <w:sz w:val="22"/>
        </w:rPr>
        <w:t xml:space="preserve">Blake, J. (2024). </w:t>
      </w:r>
      <w:r w:rsidRPr="004F157A">
        <w:rPr>
          <w:rFonts w:ascii="Arial" w:eastAsia="Times New Roman" w:hAnsi="Arial" w:cs="Arial"/>
          <w:color w:val="000000" w:themeColor="text1"/>
          <w:sz w:val="22"/>
          <w:lang w:val="en-US"/>
        </w:rPr>
        <w:t xml:space="preserve">Doubts About Value Are Deterring College Enrollment. </w:t>
      </w:r>
      <w:hyperlink r:id="rId8" w:history="1">
        <w:r w:rsidR="00517E25" w:rsidRPr="00B4705F">
          <w:rPr>
            <w:rStyle w:val="Hyperlink"/>
            <w:rFonts w:ascii="Arial" w:eastAsia="Times New Roman" w:hAnsi="Arial" w:cs="Arial"/>
            <w:sz w:val="22"/>
            <w:lang w:val="en-US"/>
          </w:rPr>
          <w:t>https://www.insidehighered.com/news/students/retention/2024/03/13/doubts-about-value-are-deterring-college-enrollment</w:t>
        </w:r>
      </w:hyperlink>
    </w:p>
    <w:p w14:paraId="70EB9306" w14:textId="41C95648" w:rsidR="00517E25" w:rsidRPr="00517E25" w:rsidRDefault="00517E25" w:rsidP="005A632D">
      <w:pPr>
        <w:rPr>
          <w:rFonts w:ascii="Arial" w:eastAsia="Times New Roman" w:hAnsi="Arial" w:cs="Arial"/>
          <w:color w:val="000000" w:themeColor="text1"/>
          <w:sz w:val="22"/>
          <w:lang w:val="en-US"/>
        </w:rPr>
      </w:pPr>
      <w:r>
        <w:rPr>
          <w:rFonts w:ascii="Arial" w:eastAsia="Times New Roman" w:hAnsi="Arial" w:cs="Arial"/>
          <w:color w:val="000000" w:themeColor="text1"/>
          <w:sz w:val="22"/>
          <w:lang w:val="en-US"/>
        </w:rPr>
        <w:lastRenderedPageBreak/>
        <w:t xml:space="preserve">Certify. (2023). </w:t>
      </w:r>
      <w:r w:rsidRPr="00517E25">
        <w:rPr>
          <w:rFonts w:ascii="Arial" w:eastAsia="Times New Roman" w:hAnsi="Arial" w:cs="Arial"/>
          <w:bCs w:val="0"/>
          <w:color w:val="000000" w:themeColor="text1"/>
          <w:sz w:val="22"/>
          <w:lang w:val="en-US"/>
        </w:rPr>
        <w:t xml:space="preserve">The importance of digital badges. </w:t>
      </w:r>
      <w:hyperlink r:id="rId9" w:history="1">
        <w:r w:rsidRPr="00517E25">
          <w:rPr>
            <w:rStyle w:val="Hyperlink"/>
            <w:rFonts w:ascii="Arial" w:eastAsia="Times New Roman" w:hAnsi="Arial" w:cs="Arial"/>
            <w:bCs w:val="0"/>
            <w:sz w:val="22"/>
            <w:lang w:val="en-US"/>
          </w:rPr>
          <w:t>https://www.linkedin.com/pulse/importance-digital-badges-certify-digital-credentials-r1hme/</w:t>
        </w:r>
      </w:hyperlink>
    </w:p>
    <w:p w14:paraId="4E82F25A" w14:textId="34B04ABF" w:rsidR="005A632D" w:rsidRPr="004F157A" w:rsidRDefault="005A632D" w:rsidP="005A632D">
      <w:pPr>
        <w:rPr>
          <w:rFonts w:ascii="Arial" w:eastAsia="Times New Roman" w:hAnsi="Arial" w:cs="Arial"/>
          <w:color w:val="000000" w:themeColor="text1"/>
          <w:sz w:val="22"/>
        </w:rPr>
      </w:pPr>
      <w:r w:rsidRPr="004F157A">
        <w:rPr>
          <w:rFonts w:ascii="Arial" w:eastAsia="Times New Roman" w:hAnsi="Arial" w:cs="Arial"/>
          <w:color w:val="000000" w:themeColor="text1"/>
          <w:sz w:val="22"/>
        </w:rPr>
        <w:t>Deterding, S., Dixon, D., Khaled, R., &amp; Nacke, L. (2011). From Game Design Elements to Gamefulness: Defining "Gamification". In Proceedings of the 15th International Academic MindTrek Conference: Envisioning Future Media Environments (pp. 9-15). ACM.</w:t>
      </w:r>
    </w:p>
    <w:p w14:paraId="6A3050F5" w14:textId="01753531" w:rsidR="005C337E" w:rsidRPr="004F157A" w:rsidRDefault="005C337E" w:rsidP="005A632D">
      <w:pPr>
        <w:rPr>
          <w:rFonts w:ascii="Arial" w:eastAsia="Times New Roman" w:hAnsi="Arial" w:cs="Arial"/>
          <w:color w:val="000000" w:themeColor="text1"/>
          <w:sz w:val="22"/>
          <w:lang w:val="en-US"/>
        </w:rPr>
      </w:pPr>
      <w:r w:rsidRPr="004F157A">
        <w:rPr>
          <w:rFonts w:ascii="Arial" w:eastAsia="Times New Roman" w:hAnsi="Arial" w:cs="Arial"/>
          <w:color w:val="000000" w:themeColor="text1"/>
          <w:sz w:val="22"/>
          <w:lang w:val="en-US"/>
        </w:rPr>
        <w:t>European_Commission. (2020). </w:t>
      </w:r>
      <w:r w:rsidRPr="004F157A">
        <w:rPr>
          <w:rFonts w:ascii="Arial" w:eastAsia="Times New Roman" w:hAnsi="Arial" w:cs="Arial"/>
          <w:i/>
          <w:iCs/>
          <w:color w:val="000000" w:themeColor="text1"/>
          <w:sz w:val="22"/>
          <w:lang w:val="en-US"/>
        </w:rPr>
        <w:t>Final Report: A European Approach to Micro-Credentials. Output of the Microcredentials Higher Education Consultation Group.</w:t>
      </w:r>
      <w:r w:rsidRPr="004F157A">
        <w:rPr>
          <w:rFonts w:ascii="Arial" w:eastAsia="Times New Roman" w:hAnsi="Arial" w:cs="Arial"/>
          <w:color w:val="000000" w:themeColor="text1"/>
          <w:sz w:val="22"/>
          <w:lang w:val="en-US"/>
        </w:rPr>
        <w:t> </w:t>
      </w:r>
      <w:hyperlink r:id="rId10" w:history="1">
        <w:r w:rsidRPr="004F157A">
          <w:rPr>
            <w:rStyle w:val="Hyperlink"/>
            <w:rFonts w:ascii="Arial" w:eastAsia="Times New Roman" w:hAnsi="Arial" w:cs="Arial"/>
            <w:color w:val="000000" w:themeColor="text1"/>
            <w:sz w:val="22"/>
            <w:lang w:val="en-US"/>
          </w:rPr>
          <w:t>https://ec.europa.eu/education/sites/default/files/document-library-docs/european-approach-microcredentials-higher-education-consultation-group-output-final-report.pdf</w:t>
        </w:r>
      </w:hyperlink>
      <w:r w:rsidRPr="004F157A">
        <w:rPr>
          <w:rFonts w:ascii="Arial" w:eastAsia="Times New Roman" w:hAnsi="Arial" w:cs="Arial"/>
          <w:color w:val="000000" w:themeColor="text1"/>
          <w:sz w:val="22"/>
          <w:lang w:val="en-US"/>
        </w:rPr>
        <w:t>. Accessed July 2021.</w:t>
      </w:r>
    </w:p>
    <w:p w14:paraId="2CE9FCFB" w14:textId="5DBF985B" w:rsidR="004D021B" w:rsidRPr="004F157A" w:rsidRDefault="005A632D"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FutureLearn. (n.d.). Deakin University. https://www.futurelearn.com/partners/deakin-university</w:t>
      </w:r>
    </w:p>
    <w:p w14:paraId="7CD35CC2" w14:textId="1A44BA38"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Harvard Extension School. (n.d.). Micro-credential and Digital Badge. Harvard University. https://www.extension.harvard.edu/academics/professional-graduate-certificates/micro-credential-and-digital-badge</w:t>
      </w:r>
    </w:p>
    <w:p w14:paraId="539A8366" w14:textId="2434EF77" w:rsidR="004D021B" w:rsidRPr="004F157A" w:rsidRDefault="004D021B" w:rsidP="004D021B">
      <w:pPr>
        <w:rPr>
          <w:rFonts w:ascii="Arial" w:eastAsia="Times New Roman" w:hAnsi="Arial" w:cs="Arial"/>
          <w:color w:val="000000" w:themeColor="text1"/>
          <w:sz w:val="22"/>
        </w:rPr>
      </w:pPr>
      <w:r w:rsidRPr="004F157A">
        <w:rPr>
          <w:rFonts w:ascii="Arial" w:eastAsia="Times New Roman" w:hAnsi="Arial" w:cs="Arial"/>
          <w:color w:val="000000" w:themeColor="text1"/>
          <w:sz w:val="22"/>
        </w:rPr>
        <w:t xml:space="preserve">IBM. (n.d.). IBM Digital Badges. </w:t>
      </w:r>
      <w:hyperlink r:id="rId11" w:anchor="/content/IBM_SkillBadges" w:history="1">
        <w:r w:rsidR="005C337E" w:rsidRPr="004F157A">
          <w:rPr>
            <w:rStyle w:val="Hyperlink"/>
            <w:rFonts w:ascii="Arial" w:eastAsia="Times New Roman" w:hAnsi="Arial" w:cs="Arial"/>
            <w:color w:val="000000" w:themeColor="text1"/>
            <w:sz w:val="22"/>
          </w:rPr>
          <w:t>https://www.ibm.com/services/learning/ites.wss/zz/en#/content/IBM_SkillBadges</w:t>
        </w:r>
      </w:hyperlink>
    </w:p>
    <w:p w14:paraId="23C72A5B" w14:textId="5E64B7F8" w:rsidR="005C337E" w:rsidRPr="004F157A" w:rsidRDefault="005C337E" w:rsidP="004D021B">
      <w:pPr>
        <w:rPr>
          <w:rFonts w:ascii="Arial" w:eastAsia="Times New Roman" w:hAnsi="Arial" w:cs="Arial"/>
          <w:color w:val="000000" w:themeColor="text1"/>
          <w:sz w:val="22"/>
          <w:lang w:val="en-US"/>
        </w:rPr>
      </w:pPr>
      <w:r w:rsidRPr="004F157A">
        <w:rPr>
          <w:rFonts w:ascii="Arial" w:eastAsia="Times New Roman" w:hAnsi="Arial" w:cs="Arial"/>
          <w:color w:val="000000" w:themeColor="text1"/>
          <w:sz w:val="22"/>
          <w:lang w:val="en-US"/>
        </w:rPr>
        <w:t>Oliver, B. (2019). Making micro-credentials work for learners, employers and providers. dteach.deakin.edu.au/microcredentials.</w:t>
      </w:r>
    </w:p>
    <w:p w14:paraId="21146AC6" w14:textId="05C0031C" w:rsidR="00A0257F" w:rsidRDefault="00A0257F" w:rsidP="00A0257F">
      <w:pPr>
        <w:rPr>
          <w:rFonts w:ascii="Arial" w:eastAsia="Times New Roman" w:hAnsi="Arial" w:cs="Arial"/>
          <w:color w:val="000000" w:themeColor="text1"/>
          <w:sz w:val="22"/>
          <w:lang w:val="en-US"/>
        </w:rPr>
      </w:pPr>
      <w:r>
        <w:rPr>
          <w:rFonts w:ascii="Arial" w:eastAsia="Times New Roman" w:hAnsi="Arial" w:cs="Arial"/>
          <w:color w:val="000000" w:themeColor="text1"/>
          <w:sz w:val="22"/>
          <w:lang w:val="en-US"/>
        </w:rPr>
        <w:t xml:space="preserve">SACSCOC. (2024). Non-Degree Credentials. </w:t>
      </w:r>
      <w:hyperlink r:id="rId12" w:history="1">
        <w:r w:rsidRPr="00B4705F">
          <w:rPr>
            <w:rStyle w:val="Hyperlink"/>
            <w:rFonts w:ascii="Arial" w:eastAsia="Times New Roman" w:hAnsi="Arial" w:cs="Arial"/>
            <w:sz w:val="22"/>
            <w:lang w:val="en-US"/>
          </w:rPr>
          <w:t>https://sacscoc.org/app/uploads/2024/03/Non-degree-Credential-Guidance.pdf</w:t>
        </w:r>
      </w:hyperlink>
    </w:p>
    <w:p w14:paraId="08FF4C50" w14:textId="6D24350F" w:rsidR="00A0257F" w:rsidRPr="00A0257F" w:rsidRDefault="00A0257F" w:rsidP="00A0257F">
      <w:pPr>
        <w:rPr>
          <w:rFonts w:ascii="Arial" w:eastAsia="Times New Roman" w:hAnsi="Arial" w:cs="Arial"/>
          <w:b/>
          <w:bCs w:val="0"/>
          <w:color w:val="000000" w:themeColor="text1"/>
          <w:sz w:val="22"/>
          <w:lang w:val="en-US"/>
        </w:rPr>
      </w:pPr>
      <w:r>
        <w:rPr>
          <w:rFonts w:ascii="Arial" w:eastAsia="Times New Roman" w:hAnsi="Arial" w:cs="Arial"/>
          <w:color w:val="000000" w:themeColor="text1"/>
          <w:sz w:val="22"/>
          <w:lang w:val="en-US"/>
        </w:rPr>
        <w:t xml:space="preserve"> </w:t>
      </w:r>
    </w:p>
    <w:p w14:paraId="5A1B1302" w14:textId="595F4697" w:rsidR="00F55E32" w:rsidRPr="004F157A" w:rsidRDefault="00F55E32" w:rsidP="004D021B">
      <w:pPr>
        <w:rPr>
          <w:rFonts w:ascii="Arial" w:hAnsi="Arial" w:cs="Arial"/>
          <w:color w:val="000000" w:themeColor="text1"/>
          <w:sz w:val="22"/>
        </w:rPr>
      </w:pPr>
    </w:p>
    <w:sectPr w:rsidR="00F55E32" w:rsidRPr="004F157A" w:rsidSect="00CA42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B1EC1"/>
    <w:multiLevelType w:val="multilevel"/>
    <w:tmpl w:val="38F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93E00"/>
    <w:multiLevelType w:val="hybridMultilevel"/>
    <w:tmpl w:val="D6A8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1B"/>
    <w:rsid w:val="00045022"/>
    <w:rsid w:val="000451D5"/>
    <w:rsid w:val="0010421A"/>
    <w:rsid w:val="00134703"/>
    <w:rsid w:val="00140FFB"/>
    <w:rsid w:val="00290A61"/>
    <w:rsid w:val="00312D2A"/>
    <w:rsid w:val="00382837"/>
    <w:rsid w:val="003B3921"/>
    <w:rsid w:val="003D5C70"/>
    <w:rsid w:val="003E362F"/>
    <w:rsid w:val="003F604F"/>
    <w:rsid w:val="004008DF"/>
    <w:rsid w:val="004A3CDD"/>
    <w:rsid w:val="004D021B"/>
    <w:rsid w:val="004F157A"/>
    <w:rsid w:val="00517E25"/>
    <w:rsid w:val="005367EE"/>
    <w:rsid w:val="005A632D"/>
    <w:rsid w:val="005C337E"/>
    <w:rsid w:val="005E6C37"/>
    <w:rsid w:val="00635FE5"/>
    <w:rsid w:val="00693F7D"/>
    <w:rsid w:val="006B07F2"/>
    <w:rsid w:val="006B0FF1"/>
    <w:rsid w:val="00895D9F"/>
    <w:rsid w:val="008B5DB3"/>
    <w:rsid w:val="008B7C67"/>
    <w:rsid w:val="00941F8F"/>
    <w:rsid w:val="00995C2E"/>
    <w:rsid w:val="009B0977"/>
    <w:rsid w:val="00A0257F"/>
    <w:rsid w:val="00A32C04"/>
    <w:rsid w:val="00B07ED6"/>
    <w:rsid w:val="00B23C71"/>
    <w:rsid w:val="00B243EC"/>
    <w:rsid w:val="00B95DBA"/>
    <w:rsid w:val="00BC48D8"/>
    <w:rsid w:val="00D04F2D"/>
    <w:rsid w:val="00D52ADD"/>
    <w:rsid w:val="00DF4C93"/>
    <w:rsid w:val="00EC17C3"/>
    <w:rsid w:val="00F006E0"/>
    <w:rsid w:val="00F55E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7E65"/>
  <w15:chartTrackingRefBased/>
  <w15:docId w15:val="{A7076E35-AB8D-4118-8DFD-990F94100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bCs/>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2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2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D02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D02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021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021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021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2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2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D02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D02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02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02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02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0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21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2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021B"/>
    <w:pPr>
      <w:spacing w:before="160"/>
      <w:jc w:val="center"/>
    </w:pPr>
    <w:rPr>
      <w:i/>
      <w:iCs/>
      <w:color w:val="404040" w:themeColor="text1" w:themeTint="BF"/>
    </w:rPr>
  </w:style>
  <w:style w:type="character" w:customStyle="1" w:styleId="QuoteChar">
    <w:name w:val="Quote Char"/>
    <w:basedOn w:val="DefaultParagraphFont"/>
    <w:link w:val="Quote"/>
    <w:uiPriority w:val="29"/>
    <w:rsid w:val="004D021B"/>
    <w:rPr>
      <w:i/>
      <w:iCs/>
      <w:color w:val="404040" w:themeColor="text1" w:themeTint="BF"/>
    </w:rPr>
  </w:style>
  <w:style w:type="paragraph" w:styleId="ListParagraph">
    <w:name w:val="List Paragraph"/>
    <w:basedOn w:val="Normal"/>
    <w:uiPriority w:val="34"/>
    <w:qFormat/>
    <w:rsid w:val="004D021B"/>
    <w:pPr>
      <w:ind w:left="720"/>
      <w:contextualSpacing/>
    </w:pPr>
  </w:style>
  <w:style w:type="character" w:styleId="IntenseEmphasis">
    <w:name w:val="Intense Emphasis"/>
    <w:basedOn w:val="DefaultParagraphFont"/>
    <w:uiPriority w:val="21"/>
    <w:qFormat/>
    <w:rsid w:val="004D021B"/>
    <w:rPr>
      <w:i/>
      <w:iCs/>
      <w:color w:val="0F4761" w:themeColor="accent1" w:themeShade="BF"/>
    </w:rPr>
  </w:style>
  <w:style w:type="paragraph" w:styleId="IntenseQuote">
    <w:name w:val="Intense Quote"/>
    <w:basedOn w:val="Normal"/>
    <w:next w:val="Normal"/>
    <w:link w:val="IntenseQuoteChar"/>
    <w:uiPriority w:val="30"/>
    <w:qFormat/>
    <w:rsid w:val="004D0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21B"/>
    <w:rPr>
      <w:i/>
      <w:iCs/>
      <w:color w:val="0F4761" w:themeColor="accent1" w:themeShade="BF"/>
    </w:rPr>
  </w:style>
  <w:style w:type="character" w:styleId="IntenseReference">
    <w:name w:val="Intense Reference"/>
    <w:basedOn w:val="DefaultParagraphFont"/>
    <w:uiPriority w:val="32"/>
    <w:qFormat/>
    <w:rsid w:val="004D021B"/>
    <w:rPr>
      <w:b/>
      <w:bCs w:val="0"/>
      <w:smallCaps/>
      <w:color w:val="0F4761" w:themeColor="accent1" w:themeShade="BF"/>
      <w:spacing w:val="5"/>
    </w:rPr>
  </w:style>
  <w:style w:type="character" w:styleId="Hyperlink">
    <w:name w:val="Hyperlink"/>
    <w:basedOn w:val="DefaultParagraphFont"/>
    <w:uiPriority w:val="99"/>
    <w:unhideWhenUsed/>
    <w:rsid w:val="006B07F2"/>
    <w:rPr>
      <w:color w:val="467886" w:themeColor="hyperlink"/>
      <w:u w:val="single"/>
    </w:rPr>
  </w:style>
  <w:style w:type="character" w:styleId="UnresolvedMention">
    <w:name w:val="Unresolved Mention"/>
    <w:basedOn w:val="DefaultParagraphFont"/>
    <w:uiPriority w:val="99"/>
    <w:semiHidden/>
    <w:unhideWhenUsed/>
    <w:rsid w:val="006B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03525">
      <w:bodyDiv w:val="1"/>
      <w:marLeft w:val="0"/>
      <w:marRight w:val="0"/>
      <w:marTop w:val="0"/>
      <w:marBottom w:val="0"/>
      <w:divBdr>
        <w:top w:val="none" w:sz="0" w:space="0" w:color="auto"/>
        <w:left w:val="none" w:sz="0" w:space="0" w:color="auto"/>
        <w:bottom w:val="none" w:sz="0" w:space="0" w:color="auto"/>
        <w:right w:val="none" w:sz="0" w:space="0" w:color="auto"/>
      </w:divBdr>
    </w:div>
    <w:div w:id="153381162">
      <w:bodyDiv w:val="1"/>
      <w:marLeft w:val="0"/>
      <w:marRight w:val="0"/>
      <w:marTop w:val="0"/>
      <w:marBottom w:val="0"/>
      <w:divBdr>
        <w:top w:val="none" w:sz="0" w:space="0" w:color="auto"/>
        <w:left w:val="none" w:sz="0" w:space="0" w:color="auto"/>
        <w:bottom w:val="none" w:sz="0" w:space="0" w:color="auto"/>
        <w:right w:val="none" w:sz="0" w:space="0" w:color="auto"/>
      </w:divBdr>
    </w:div>
    <w:div w:id="286863137">
      <w:bodyDiv w:val="1"/>
      <w:marLeft w:val="0"/>
      <w:marRight w:val="0"/>
      <w:marTop w:val="0"/>
      <w:marBottom w:val="0"/>
      <w:divBdr>
        <w:top w:val="none" w:sz="0" w:space="0" w:color="auto"/>
        <w:left w:val="none" w:sz="0" w:space="0" w:color="auto"/>
        <w:bottom w:val="none" w:sz="0" w:space="0" w:color="auto"/>
        <w:right w:val="none" w:sz="0" w:space="0" w:color="auto"/>
      </w:divBdr>
    </w:div>
    <w:div w:id="412236684">
      <w:bodyDiv w:val="1"/>
      <w:marLeft w:val="0"/>
      <w:marRight w:val="0"/>
      <w:marTop w:val="0"/>
      <w:marBottom w:val="0"/>
      <w:divBdr>
        <w:top w:val="none" w:sz="0" w:space="0" w:color="auto"/>
        <w:left w:val="none" w:sz="0" w:space="0" w:color="auto"/>
        <w:bottom w:val="none" w:sz="0" w:space="0" w:color="auto"/>
        <w:right w:val="none" w:sz="0" w:space="0" w:color="auto"/>
      </w:divBdr>
    </w:div>
    <w:div w:id="523982418">
      <w:bodyDiv w:val="1"/>
      <w:marLeft w:val="0"/>
      <w:marRight w:val="0"/>
      <w:marTop w:val="0"/>
      <w:marBottom w:val="0"/>
      <w:divBdr>
        <w:top w:val="none" w:sz="0" w:space="0" w:color="auto"/>
        <w:left w:val="none" w:sz="0" w:space="0" w:color="auto"/>
        <w:bottom w:val="none" w:sz="0" w:space="0" w:color="auto"/>
        <w:right w:val="none" w:sz="0" w:space="0" w:color="auto"/>
      </w:divBdr>
    </w:div>
    <w:div w:id="769817388">
      <w:bodyDiv w:val="1"/>
      <w:marLeft w:val="0"/>
      <w:marRight w:val="0"/>
      <w:marTop w:val="0"/>
      <w:marBottom w:val="0"/>
      <w:divBdr>
        <w:top w:val="none" w:sz="0" w:space="0" w:color="auto"/>
        <w:left w:val="none" w:sz="0" w:space="0" w:color="auto"/>
        <w:bottom w:val="none" w:sz="0" w:space="0" w:color="auto"/>
        <w:right w:val="none" w:sz="0" w:space="0" w:color="auto"/>
      </w:divBdr>
    </w:div>
    <w:div w:id="868374004">
      <w:bodyDiv w:val="1"/>
      <w:marLeft w:val="0"/>
      <w:marRight w:val="0"/>
      <w:marTop w:val="0"/>
      <w:marBottom w:val="0"/>
      <w:divBdr>
        <w:top w:val="none" w:sz="0" w:space="0" w:color="auto"/>
        <w:left w:val="none" w:sz="0" w:space="0" w:color="auto"/>
        <w:bottom w:val="none" w:sz="0" w:space="0" w:color="auto"/>
        <w:right w:val="none" w:sz="0" w:space="0" w:color="auto"/>
      </w:divBdr>
    </w:div>
    <w:div w:id="1209533257">
      <w:bodyDiv w:val="1"/>
      <w:marLeft w:val="0"/>
      <w:marRight w:val="0"/>
      <w:marTop w:val="0"/>
      <w:marBottom w:val="0"/>
      <w:divBdr>
        <w:top w:val="none" w:sz="0" w:space="0" w:color="auto"/>
        <w:left w:val="none" w:sz="0" w:space="0" w:color="auto"/>
        <w:bottom w:val="none" w:sz="0" w:space="0" w:color="auto"/>
        <w:right w:val="none" w:sz="0" w:space="0" w:color="auto"/>
      </w:divBdr>
    </w:div>
    <w:div w:id="1431973552">
      <w:bodyDiv w:val="1"/>
      <w:marLeft w:val="0"/>
      <w:marRight w:val="0"/>
      <w:marTop w:val="0"/>
      <w:marBottom w:val="0"/>
      <w:divBdr>
        <w:top w:val="none" w:sz="0" w:space="0" w:color="auto"/>
        <w:left w:val="none" w:sz="0" w:space="0" w:color="auto"/>
        <w:bottom w:val="none" w:sz="0" w:space="0" w:color="auto"/>
        <w:right w:val="none" w:sz="0" w:space="0" w:color="auto"/>
      </w:divBdr>
    </w:div>
    <w:div w:id="1598636031">
      <w:bodyDiv w:val="1"/>
      <w:marLeft w:val="0"/>
      <w:marRight w:val="0"/>
      <w:marTop w:val="0"/>
      <w:marBottom w:val="0"/>
      <w:divBdr>
        <w:top w:val="none" w:sz="0" w:space="0" w:color="auto"/>
        <w:left w:val="none" w:sz="0" w:space="0" w:color="auto"/>
        <w:bottom w:val="none" w:sz="0" w:space="0" w:color="auto"/>
        <w:right w:val="none" w:sz="0" w:space="0" w:color="auto"/>
      </w:divBdr>
    </w:div>
    <w:div w:id="1656688010">
      <w:bodyDiv w:val="1"/>
      <w:marLeft w:val="0"/>
      <w:marRight w:val="0"/>
      <w:marTop w:val="0"/>
      <w:marBottom w:val="0"/>
      <w:divBdr>
        <w:top w:val="none" w:sz="0" w:space="0" w:color="auto"/>
        <w:left w:val="none" w:sz="0" w:space="0" w:color="auto"/>
        <w:bottom w:val="none" w:sz="0" w:space="0" w:color="auto"/>
        <w:right w:val="none" w:sz="0" w:space="0" w:color="auto"/>
      </w:divBdr>
    </w:div>
    <w:div w:id="1714304997">
      <w:bodyDiv w:val="1"/>
      <w:marLeft w:val="0"/>
      <w:marRight w:val="0"/>
      <w:marTop w:val="0"/>
      <w:marBottom w:val="0"/>
      <w:divBdr>
        <w:top w:val="none" w:sz="0" w:space="0" w:color="auto"/>
        <w:left w:val="none" w:sz="0" w:space="0" w:color="auto"/>
        <w:bottom w:val="none" w:sz="0" w:space="0" w:color="auto"/>
        <w:right w:val="none" w:sz="0" w:space="0" w:color="auto"/>
      </w:divBdr>
    </w:div>
    <w:div w:id="1716662966">
      <w:bodyDiv w:val="1"/>
      <w:marLeft w:val="0"/>
      <w:marRight w:val="0"/>
      <w:marTop w:val="0"/>
      <w:marBottom w:val="0"/>
      <w:divBdr>
        <w:top w:val="none" w:sz="0" w:space="0" w:color="auto"/>
        <w:left w:val="none" w:sz="0" w:space="0" w:color="auto"/>
        <w:bottom w:val="none" w:sz="0" w:space="0" w:color="auto"/>
        <w:right w:val="none" w:sz="0" w:space="0" w:color="auto"/>
      </w:divBdr>
    </w:div>
    <w:div w:id="1789933084">
      <w:bodyDiv w:val="1"/>
      <w:marLeft w:val="0"/>
      <w:marRight w:val="0"/>
      <w:marTop w:val="0"/>
      <w:marBottom w:val="0"/>
      <w:divBdr>
        <w:top w:val="none" w:sz="0" w:space="0" w:color="auto"/>
        <w:left w:val="none" w:sz="0" w:space="0" w:color="auto"/>
        <w:bottom w:val="none" w:sz="0" w:space="0" w:color="auto"/>
        <w:right w:val="none" w:sz="0" w:space="0" w:color="auto"/>
      </w:divBdr>
    </w:div>
    <w:div w:id="1794447374">
      <w:bodyDiv w:val="1"/>
      <w:marLeft w:val="0"/>
      <w:marRight w:val="0"/>
      <w:marTop w:val="0"/>
      <w:marBottom w:val="0"/>
      <w:divBdr>
        <w:top w:val="none" w:sz="0" w:space="0" w:color="auto"/>
        <w:left w:val="none" w:sz="0" w:space="0" w:color="auto"/>
        <w:bottom w:val="none" w:sz="0" w:space="0" w:color="auto"/>
        <w:right w:val="none" w:sz="0" w:space="0" w:color="auto"/>
      </w:divBdr>
    </w:div>
    <w:div w:id="1804930238">
      <w:bodyDiv w:val="1"/>
      <w:marLeft w:val="0"/>
      <w:marRight w:val="0"/>
      <w:marTop w:val="0"/>
      <w:marBottom w:val="0"/>
      <w:divBdr>
        <w:top w:val="none" w:sz="0" w:space="0" w:color="auto"/>
        <w:left w:val="none" w:sz="0" w:space="0" w:color="auto"/>
        <w:bottom w:val="none" w:sz="0" w:space="0" w:color="auto"/>
        <w:right w:val="none" w:sz="0" w:space="0" w:color="auto"/>
      </w:divBdr>
    </w:div>
    <w:div w:id="1841192326">
      <w:bodyDiv w:val="1"/>
      <w:marLeft w:val="0"/>
      <w:marRight w:val="0"/>
      <w:marTop w:val="0"/>
      <w:marBottom w:val="0"/>
      <w:divBdr>
        <w:top w:val="none" w:sz="0" w:space="0" w:color="auto"/>
        <w:left w:val="none" w:sz="0" w:space="0" w:color="auto"/>
        <w:bottom w:val="none" w:sz="0" w:space="0" w:color="auto"/>
        <w:right w:val="none" w:sz="0" w:space="0" w:color="auto"/>
      </w:divBdr>
    </w:div>
    <w:div w:id="1977644097">
      <w:bodyDiv w:val="1"/>
      <w:marLeft w:val="0"/>
      <w:marRight w:val="0"/>
      <w:marTop w:val="0"/>
      <w:marBottom w:val="0"/>
      <w:divBdr>
        <w:top w:val="none" w:sz="0" w:space="0" w:color="auto"/>
        <w:left w:val="none" w:sz="0" w:space="0" w:color="auto"/>
        <w:bottom w:val="none" w:sz="0" w:space="0" w:color="auto"/>
        <w:right w:val="none" w:sz="0" w:space="0" w:color="auto"/>
      </w:divBdr>
    </w:div>
    <w:div w:id="1987080435">
      <w:bodyDiv w:val="1"/>
      <w:marLeft w:val="0"/>
      <w:marRight w:val="0"/>
      <w:marTop w:val="0"/>
      <w:marBottom w:val="0"/>
      <w:divBdr>
        <w:top w:val="none" w:sz="0" w:space="0" w:color="auto"/>
        <w:left w:val="none" w:sz="0" w:space="0" w:color="auto"/>
        <w:bottom w:val="none" w:sz="0" w:space="0" w:color="auto"/>
        <w:right w:val="none" w:sz="0" w:space="0" w:color="auto"/>
      </w:divBdr>
    </w:div>
    <w:div w:id="2072387855">
      <w:bodyDiv w:val="1"/>
      <w:marLeft w:val="0"/>
      <w:marRight w:val="0"/>
      <w:marTop w:val="0"/>
      <w:marBottom w:val="0"/>
      <w:divBdr>
        <w:top w:val="none" w:sz="0" w:space="0" w:color="auto"/>
        <w:left w:val="none" w:sz="0" w:space="0" w:color="auto"/>
        <w:bottom w:val="none" w:sz="0" w:space="0" w:color="auto"/>
        <w:right w:val="none" w:sz="0" w:space="0" w:color="auto"/>
      </w:divBdr>
    </w:div>
    <w:div w:id="21419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news/students/retention/2024/03/13/doubts-about-value-are-deterring-college-enroll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article/10.1007/s10639-023-11739-z" TargetMode="External"/><Relationship Id="rId12" Type="http://schemas.openxmlformats.org/officeDocument/2006/relationships/hyperlink" Target="https://sacscoc.org/app/uploads/2024/03/Non-degree-Credential-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007/s10639-023-11739-z" TargetMode="External"/><Relationship Id="rId11" Type="http://schemas.openxmlformats.org/officeDocument/2006/relationships/hyperlink" Target="https://www.ibm.com/services/learning/ites.wss/zz/en" TargetMode="External"/><Relationship Id="rId5" Type="http://schemas.openxmlformats.org/officeDocument/2006/relationships/hyperlink" Target="https://link.springer.com/article/10.1007/s10639-023-11739-z" TargetMode="External"/><Relationship Id="rId10" Type="http://schemas.openxmlformats.org/officeDocument/2006/relationships/hyperlink" Target="https://ec.europa.eu/education/sites/default/files/document-library-docs/european-approach-microcredentials-higher-education-consultation-group-output-final-report.pdf" TargetMode="External"/><Relationship Id="rId4" Type="http://schemas.openxmlformats.org/officeDocument/2006/relationships/webSettings" Target="webSettings.xml"/><Relationship Id="rId9" Type="http://schemas.openxmlformats.org/officeDocument/2006/relationships/hyperlink" Target="https://www.linkedin.com/pulse/importance-digital-badges-certify-digital-credentials-r1h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Kaja</dc:creator>
  <cp:keywords/>
  <dc:description/>
  <cp:lastModifiedBy>Harika Rao</cp:lastModifiedBy>
  <cp:revision>7</cp:revision>
  <dcterms:created xsi:type="dcterms:W3CDTF">2024-08-25T14:13:00Z</dcterms:created>
  <dcterms:modified xsi:type="dcterms:W3CDTF">2024-08-27T01:14:00Z</dcterms:modified>
</cp:coreProperties>
</file>