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0" w:line="360" w:lineRule="auto"/>
        <w:rPr>
          <w:i w:val="1"/>
        </w:rPr>
      </w:pPr>
      <w:r w:rsidDel="00000000" w:rsidR="00000000" w:rsidRPr="00000000">
        <w:rPr>
          <w:i w:val="1"/>
          <w:rtl w:val="0"/>
        </w:rPr>
        <w:t xml:space="preserve">Author Name et al.</w:t>
      </w:r>
    </w:p>
    <w:p w:rsidR="00000000" w:rsidDel="00000000" w:rsidP="00000000" w:rsidRDefault="00000000" w:rsidRPr="00000000" w14:paraId="00000002">
      <w:pPr>
        <w:keepNext w:val="1"/>
        <w:keepLines w:val="1"/>
        <w:spacing w:after="0" w:line="360" w:lineRule="auto"/>
        <w:rPr>
          <w:i w:val="1"/>
        </w:rPr>
      </w:pPr>
      <w:r w:rsidDel="00000000" w:rsidR="00000000" w:rsidRPr="00000000">
        <w:rPr>
          <w:i w:val="1"/>
          <w:rtl w:val="0"/>
        </w:rPr>
        <w:t xml:space="preserve">Vol. Issue , pp. To be filled by editorial desk</w:t>
      </w:r>
    </w:p>
    <w:p w:rsidR="00000000" w:rsidDel="00000000" w:rsidP="00000000" w:rsidRDefault="00000000" w:rsidRPr="00000000" w14:paraId="00000003">
      <w:pPr>
        <w:keepNext w:val="1"/>
        <w:keepLines w:val="1"/>
        <w:spacing w:after="0" w:line="360" w:lineRule="auto"/>
        <w:rPr>
          <w:i w:val="1"/>
        </w:rPr>
      </w:pPr>
      <w:r w:rsidDel="00000000" w:rsidR="00000000" w:rsidRPr="00000000">
        <w:rPr>
          <w:i w:val="1"/>
          <w:rtl w:val="0"/>
        </w:rPr>
        <w:t xml:space="preserve">Date of Publication To be filled by editorial desk</w:t>
      </w:r>
    </w:p>
    <w:p w:rsidR="00000000" w:rsidDel="00000000" w:rsidP="00000000" w:rsidRDefault="00000000" w:rsidRPr="00000000" w14:paraId="00000004">
      <w:pPr>
        <w:keepNext w:val="1"/>
        <w:keepLines w:val="1"/>
        <w:spacing w:after="0" w:line="360" w:lineRule="auto"/>
        <w:rPr>
          <w:i w:val="1"/>
        </w:rPr>
      </w:pPr>
      <w:r w:rsidDel="00000000" w:rsidR="00000000" w:rsidRPr="00000000">
        <w:rPr>
          <w:i w:val="1"/>
          <w:rtl w:val="0"/>
        </w:rPr>
        <w:t xml:space="preserve">DOI: To be filled by editorial desk</w:t>
      </w:r>
    </w:p>
    <w:p w:rsidR="00000000" w:rsidDel="00000000" w:rsidP="00000000" w:rsidRDefault="00000000" w:rsidRPr="00000000" w14:paraId="00000005">
      <w:pPr>
        <w:keepNext w:val="1"/>
        <w:keepLines w:val="1"/>
        <w:spacing w:after="0" w:line="360" w:lineRule="auto"/>
        <w:rPr>
          <w:i w:val="1"/>
        </w:rPr>
      </w:pPr>
      <w:r w:rsidDel="00000000" w:rsidR="00000000" w:rsidRPr="00000000">
        <w:rPr>
          <w:i w:val="1"/>
          <w:rtl w:val="0"/>
        </w:rPr>
        <w:t xml:space="preserve">This Paper can be cited as: To be filled by editorial desk</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Kinetics: role of catalysis</w:t>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Yoshifumi Asahara </w:t>
      </w:r>
    </w:p>
    <w:p w:rsidR="00000000" w:rsidDel="00000000" w:rsidP="00000000" w:rsidRDefault="00000000" w:rsidRPr="00000000" w14:paraId="00000009">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Osaka Prefecture University, Sakai, Osaka, JAPAN</w:t>
      </w:r>
    </w:p>
    <w:p w:rsidR="00000000" w:rsidDel="00000000" w:rsidP="00000000" w:rsidRDefault="00000000" w:rsidRPr="00000000" w14:paraId="0000000A">
      <w:pPr>
        <w:spacing w:after="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Email: 233.c.ces@gmail.com</w:t>
      </w:r>
    </w:p>
    <w:p w:rsidR="00000000" w:rsidDel="00000000" w:rsidP="00000000" w:rsidRDefault="00000000" w:rsidRPr="00000000" w14:paraId="0000000B">
      <w:pPr>
        <w:keepNext w:val="0"/>
        <w:keepLines w:val="0"/>
        <w:widowControl w:val="1"/>
        <w:pBdr>
          <w:top w:space="0" w:sz="0" w:val="nil"/>
          <w:left w:space="0" w:sz="0" w:val="nil"/>
          <w:bottom w:color="000000" w:space="1" w:sz="12" w:val="single"/>
          <w:right w:space="0" w:sz="0" w:val="nil"/>
          <w:between w:space="0" w:sz="0" w:val="nil"/>
        </w:pBdr>
        <w:shd w:fill="auto" w:val="clear"/>
        <w:tabs>
          <w:tab w:val="right" w:pos="72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Abstract</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i w:val="1"/>
          <w:sz w:val="24"/>
          <w:szCs w:val="24"/>
        </w:rPr>
      </w:pPr>
      <w:bookmarkStart w:colFirst="0" w:colLast="0" w:name="_gjdgxs" w:id="0"/>
      <w:bookmarkEnd w:id="0"/>
      <w:r w:rsidDel="00000000" w:rsidR="00000000" w:rsidRPr="00000000">
        <w:rPr>
          <w:rFonts w:ascii="Times New Roman" w:cs="Times New Roman" w:eastAsia="Times New Roman" w:hAnsi="Times New Roman"/>
          <w:i w:val="1"/>
          <w:sz w:val="24"/>
          <w:szCs w:val="24"/>
          <w:rtl w:val="0"/>
        </w:rPr>
        <w:t xml:space="preserve">It seems to be desirable to work on </w:t>
      </w:r>
      <w:r w:rsidDel="00000000" w:rsidR="00000000" w:rsidRPr="00000000">
        <w:rPr>
          <w:rFonts w:ascii="Times New Roman" w:cs="Times New Roman" w:eastAsia="Times New Roman" w:hAnsi="Times New Roman"/>
          <w:i w:val="1"/>
          <w:color w:val="202124"/>
          <w:sz w:val="24"/>
          <w:szCs w:val="24"/>
          <w:rtl w:val="0"/>
        </w:rPr>
        <w:t xml:space="preserve">learning items</w:t>
      </w:r>
      <w:r w:rsidDel="00000000" w:rsidR="00000000" w:rsidRPr="00000000">
        <w:rPr>
          <w:rFonts w:ascii="Times New Roman" w:cs="Times New Roman" w:eastAsia="Times New Roman" w:hAnsi="Times New Roman"/>
          <w:i w:val="1"/>
          <w:sz w:val="24"/>
          <w:szCs w:val="24"/>
          <w:rtl w:val="0"/>
        </w:rPr>
        <w:t xml:space="preserve"> through one of the primary industrial reactions. We take catalytic action in </w:t>
      </w:r>
      <w:r w:rsidDel="00000000" w:rsidR="00000000" w:rsidRPr="00000000">
        <w:rPr>
          <w:rFonts w:ascii="Times New Roman" w:cs="Times New Roman" w:eastAsia="Times New Roman" w:hAnsi="Times New Roman"/>
          <w:i w:val="1"/>
          <w:color w:val="202124"/>
          <w:sz w:val="24"/>
          <w:szCs w:val="24"/>
          <w:rtl w:val="0"/>
        </w:rPr>
        <w:t xml:space="preserve">Haber Bosch method</w:t>
      </w:r>
      <w:r w:rsidDel="00000000" w:rsidR="00000000" w:rsidRPr="00000000">
        <w:rPr>
          <w:rFonts w:ascii="Times New Roman" w:cs="Times New Roman" w:eastAsia="Times New Roman" w:hAnsi="Times New Roman"/>
          <w:i w:val="1"/>
          <w:sz w:val="24"/>
          <w:szCs w:val="24"/>
          <w:rtl w:val="0"/>
        </w:rPr>
        <w:t xml:space="preserve"> to deepen students’ understanding of kinetics (, focusing on t</w:t>
      </w:r>
      <w:r w:rsidDel="00000000" w:rsidR="00000000" w:rsidRPr="00000000">
        <w:rPr>
          <w:rFonts w:ascii="Times New Roman" w:cs="Times New Roman" w:eastAsia="Times New Roman" w:hAnsi="Times New Roman"/>
          <w:i w:val="1"/>
          <w:color w:val="202124"/>
          <w:sz w:val="24"/>
          <w:szCs w:val="24"/>
          <w:rtl w:val="0"/>
        </w:rPr>
        <w:t xml:space="preserve">ransition state of rate-determining step</w:t>
      </w:r>
      <w:r w:rsidDel="00000000" w:rsidR="00000000" w:rsidRPr="00000000">
        <w:rPr>
          <w:rFonts w:ascii="Times New Roman" w:cs="Times New Roman" w:eastAsia="Times New Roman" w:hAnsi="Times New Roman"/>
          <w:i w:val="1"/>
          <w:sz w:val="24"/>
          <w:szCs w:val="24"/>
          <w:rtl w:val="0"/>
        </w:rPr>
        <w:t xml:space="preserve">) as well as chemical equilibrium. </w:t>
      </w:r>
      <w:r w:rsidDel="00000000" w:rsidR="00000000" w:rsidRPr="00000000">
        <w:rPr>
          <w:rFonts w:ascii="Times New Roman" w:cs="Times New Roman" w:eastAsia="Times New Roman" w:hAnsi="Times New Roman"/>
          <w:i w:val="1"/>
          <w:color w:val="202124"/>
          <w:sz w:val="24"/>
          <w:szCs w:val="24"/>
          <w:rtl w:val="0"/>
        </w:rPr>
        <w:t xml:space="preserve">The adsorption interaction of a catalyst to the reactant (d-orbital occupancy of catalyst as an index) is primary indicator of catalytic activity (Sabatier principle). The reaction due to molecular collision and the one with catalyst consist of multi-elementary </w:t>
      </w:r>
      <w:r w:rsidDel="00000000" w:rsidR="00000000" w:rsidRPr="00000000">
        <w:rPr>
          <w:rFonts w:ascii="Times New Roman" w:cs="Times New Roman" w:eastAsia="Times New Roman" w:hAnsi="Times New Roman"/>
          <w:i w:val="1"/>
          <w:sz w:val="24"/>
          <w:szCs w:val="24"/>
          <w:rtl w:val="0"/>
        </w:rPr>
        <w:t xml:space="preserve">steps</w:t>
      </w:r>
      <w:r w:rsidDel="00000000" w:rsidR="00000000" w:rsidRPr="00000000">
        <w:rPr>
          <w:rFonts w:ascii="Times New Roman" w:cs="Times New Roman" w:eastAsia="Times New Roman" w:hAnsi="Times New Roman"/>
          <w:i w:val="1"/>
          <w:color w:val="202124"/>
          <w:sz w:val="24"/>
          <w:szCs w:val="24"/>
          <w:rtl w:val="0"/>
        </w:rPr>
        <w:t xml:space="preserve"> are compared with the energy profile. Consideration of the relationship between activation energy and reaction rate those above will lead to not only an experimental understanding but also a theoretical understanding.</w:t>
      </w:r>
      <w:r w:rsidDel="00000000" w:rsidR="00000000" w:rsidRPr="00000000">
        <w:rPr>
          <w:rFonts w:ascii="Times New Roman" w:cs="Times New Roman" w:eastAsia="Times New Roman" w:hAnsi="Times New Roman"/>
          <w:i w:val="1"/>
          <w:sz w:val="24"/>
          <w:szCs w:val="24"/>
          <w:rtl w:val="0"/>
        </w:rPr>
        <w:t xml:space="preserve"> Finally, we will take </w:t>
      </w:r>
      <w:r w:rsidDel="00000000" w:rsidR="00000000" w:rsidRPr="00000000">
        <w:rPr>
          <w:rFonts w:ascii="Times New Roman" w:cs="Times New Roman" w:eastAsia="Times New Roman" w:hAnsi="Times New Roman"/>
          <w:i w:val="1"/>
          <w:color w:val="202124"/>
          <w:sz w:val="24"/>
          <w:szCs w:val="24"/>
          <w:rtl w:val="0"/>
        </w:rPr>
        <w:t xml:space="preserve">water gas shift reaction and water decomposition by photocatalyst as hydrogen gas production reaction with consideration of reaction kinetics and chemical equilibrium theory through catalysis.</w:t>
      </w:r>
      <w:r w:rsidDel="00000000" w:rsidR="00000000" w:rsidRPr="00000000">
        <w:rPr>
          <w:rtl w:val="0"/>
        </w:rPr>
      </w:r>
    </w:p>
    <w:p w:rsidR="00000000" w:rsidDel="00000000" w:rsidP="00000000" w:rsidRDefault="00000000" w:rsidRPr="00000000" w14:paraId="0000000F">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 </w:t>
      </w:r>
    </w:p>
    <w:p w:rsidR="00000000" w:rsidDel="00000000" w:rsidP="00000000" w:rsidRDefault="00000000" w:rsidRPr="00000000" w14:paraId="00000010">
      <w:pPr>
        <w:pBdr>
          <w:bottom w:color="000000" w:space="1" w:sz="12" w:val="single"/>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reaction rate, chemical equilibrium, ammonia synthesis, activation energy, speed-determining step, catalysis, reaction mechanism</w:t>
      </w:r>
    </w:p>
    <w:p w:rsidR="00000000" w:rsidDel="00000000" w:rsidP="00000000" w:rsidRDefault="00000000" w:rsidRPr="00000000" w14:paraId="00000011">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after="0" w:line="360" w:lineRule="auto"/>
        <w:ind w:left="0" w:firstLine="0"/>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8"/>
          <w:szCs w:val="28"/>
          <w:rtl w:val="0"/>
        </w:rPr>
        <w:t xml:space="preserve">1. Introduction </w:t>
      </w:r>
      <w:r w:rsidDel="00000000" w:rsidR="00000000" w:rsidRPr="00000000">
        <w:rPr>
          <w:rtl w:val="0"/>
        </w:rPr>
      </w:r>
    </w:p>
    <w:p w:rsidR="00000000" w:rsidDel="00000000" w:rsidP="00000000" w:rsidRDefault="00000000" w:rsidRPr="00000000" w14:paraId="00000013">
      <w:pPr>
        <w:widowControl w:val="0"/>
        <w:spacing w:after="0" w:line="240" w:lineRule="auto"/>
        <w:ind w:firstLine="1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yield of ammonia produced was examined by considering Le Chatelier's Principle of the Haber process. Appropriate catalyst is needed to proceed the reaction on low temperature, which is advantageous in chemical equilibrium. Through considering the function of the catalyst from the elementary reaction process, students will have a better understanding of reaction kinetics.</w:t>
      </w:r>
    </w:p>
    <w:p w:rsidR="00000000" w:rsidDel="00000000" w:rsidP="00000000" w:rsidRDefault="00000000" w:rsidRPr="00000000" w14:paraId="0000001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after="120"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after="120" w:line="360" w:lineRule="auto"/>
        <w:ind w:left="0" w:firstLine="0"/>
        <w:rPr>
          <w:rFonts w:ascii="Times New Roman" w:cs="Times New Roman" w:eastAsia="Times New Roman" w:hAnsi="Times New Roman"/>
          <w:b w:val="1"/>
          <w:color w:val="202124"/>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color w:val="202124"/>
          <w:sz w:val="28"/>
          <w:szCs w:val="28"/>
          <w:rtl w:val="0"/>
        </w:rPr>
        <w:t xml:space="preserve">Implementation</w:t>
      </w:r>
    </w:p>
    <w:p w:rsidR="00000000" w:rsidDel="00000000" w:rsidP="00000000" w:rsidRDefault="00000000" w:rsidRPr="00000000" w14:paraId="00000019">
      <w:pPr>
        <w:spacing w:after="12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Arrehenius Equation</w:t>
      </w:r>
    </w:p>
    <w:p w:rsidR="00000000" w:rsidDel="00000000" w:rsidP="00000000" w:rsidRDefault="00000000" w:rsidRPr="00000000" w14:paraId="0000001A">
      <w:pPr>
        <w:spacing w:after="0" w:line="240" w:lineRule="auto"/>
        <w:ind w:left="-180" w:firstLine="30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The Arrhenius equation is expressed as follows: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2726964</wp:posOffset>
            </wp:positionH>
            <wp:positionV relativeFrom="paragraph">
              <wp:posOffset>3502</wp:posOffset>
            </wp:positionV>
            <wp:extent cx="2944859" cy="1896311"/>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944859" cy="1896311"/>
                    </a:xfrm>
                    <a:prstGeom prst="rect"/>
                    <a:ln/>
                  </pic:spPr>
                </pic:pic>
              </a:graphicData>
            </a:graphic>
          </wp:anchor>
        </w:drawing>
      </w:r>
    </w:p>
    <w:p w:rsidR="00000000" w:rsidDel="00000000" w:rsidP="00000000" w:rsidRDefault="00000000" w:rsidRPr="00000000" w14:paraId="0000001B">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C">
      <w:pPr>
        <w:widowControl w:val="0"/>
        <w:spacing w:after="0" w:line="240" w:lineRule="auto"/>
        <w:ind w:firstLine="120"/>
        <w:rPr>
          <w:rFonts w:ascii="Times New Roman" w:cs="Times New Roman" w:eastAsia="Times New Roman" w:hAnsi="Times New Roman"/>
          <w:b w:val="1"/>
          <w:i w:val="1"/>
          <w:sz w:val="20"/>
          <w:szCs w:val="20"/>
          <w:shd w:fill="d9d9d9" w:val="clear"/>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0"/>
          <w:szCs w:val="20"/>
          <w:shd w:fill="d9d9d9" w:val="clear"/>
          <w:rtl w:val="0"/>
        </w:rPr>
        <w:t xml:space="preserve">k = Ae</w:t>
      </w:r>
      <w:r w:rsidDel="00000000" w:rsidR="00000000" w:rsidRPr="00000000">
        <w:rPr>
          <w:rFonts w:ascii="Times New Roman" w:cs="Times New Roman" w:eastAsia="Times New Roman" w:hAnsi="Times New Roman"/>
          <w:b w:val="1"/>
          <w:sz w:val="20"/>
          <w:szCs w:val="20"/>
          <w:shd w:fill="d9d9d9" w:val="clear"/>
          <w:vertAlign w:val="superscript"/>
          <w:rtl w:val="0"/>
        </w:rPr>
        <w:t xml:space="preserve">−</w:t>
      </w:r>
      <w:r w:rsidDel="00000000" w:rsidR="00000000" w:rsidRPr="00000000">
        <w:rPr>
          <w:rFonts w:ascii="Times New Roman" w:cs="Times New Roman" w:eastAsia="Times New Roman" w:hAnsi="Times New Roman"/>
          <w:b w:val="1"/>
          <w:i w:val="1"/>
          <w:sz w:val="20"/>
          <w:szCs w:val="20"/>
          <w:shd w:fill="d9d9d9" w:val="clear"/>
          <w:vertAlign w:val="superscript"/>
          <w:rtl w:val="0"/>
        </w:rPr>
        <w:t xml:space="preserve">E/RT</w:t>
      </w:r>
      <w:r w:rsidDel="00000000" w:rsidR="00000000" w:rsidRPr="00000000">
        <w:rPr>
          <w:rFonts w:ascii="Times New Roman" w:cs="Times New Roman" w:eastAsia="Times New Roman" w:hAnsi="Times New Roman"/>
          <w:b w:val="1"/>
          <w:i w:val="1"/>
          <w:sz w:val="20"/>
          <w:szCs w:val="20"/>
          <w:shd w:fill="d9d9d9" w:val="clear"/>
          <w:rtl w:val="0"/>
        </w:rPr>
        <w:t xml:space="preserve"> = A exp(</w:t>
      </w:r>
      <w:r w:rsidDel="00000000" w:rsidR="00000000" w:rsidRPr="00000000">
        <w:rPr>
          <w:rFonts w:ascii="Times New Roman" w:cs="Times New Roman" w:eastAsia="Times New Roman" w:hAnsi="Times New Roman"/>
          <w:b w:val="1"/>
          <w:sz w:val="20"/>
          <w:szCs w:val="20"/>
          <w:shd w:fill="d9d9d9" w:val="clear"/>
          <w:rtl w:val="0"/>
        </w:rPr>
        <w:t xml:space="preserve">−</w:t>
      </w:r>
      <w:r w:rsidDel="00000000" w:rsidR="00000000" w:rsidRPr="00000000">
        <w:rPr>
          <w:rFonts w:ascii="Times New Roman" w:cs="Times New Roman" w:eastAsia="Times New Roman" w:hAnsi="Times New Roman"/>
          <w:b w:val="1"/>
          <w:i w:val="1"/>
          <w:sz w:val="20"/>
          <w:szCs w:val="20"/>
          <w:shd w:fill="d9d9d9" w:val="clear"/>
          <w:rtl w:val="0"/>
        </w:rPr>
        <w:t xml:space="preserve">E / RT ) </w:t>
      </w:r>
    </w:p>
    <w:p w:rsidR="00000000" w:rsidDel="00000000" w:rsidP="00000000" w:rsidRDefault="00000000" w:rsidRPr="00000000" w14:paraId="0000001D">
      <w:pPr>
        <w:widowControl w:val="0"/>
        <w:spacing w:after="0" w:line="240" w:lineRule="auto"/>
        <w:ind w:firstLine="8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E">
      <w:pPr>
        <w:widowControl w:val="0"/>
        <w:spacing w:after="0" w:line="240" w:lineRule="auto"/>
        <w:ind w:firstLine="5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A: Frequency factor </w:t>
      </w:r>
      <w:r w:rsidDel="00000000" w:rsidR="00000000" w:rsidRPr="00000000">
        <w:rPr>
          <w:rtl w:val="0"/>
        </w:rPr>
      </w:r>
    </w:p>
    <w:p w:rsidR="00000000" w:rsidDel="00000000" w:rsidP="00000000" w:rsidRDefault="00000000" w:rsidRPr="00000000" w14:paraId="0000001F">
      <w:pPr>
        <w:widowControl w:val="0"/>
        <w:spacing w:after="0" w:line="240" w:lineRule="auto"/>
        <w:ind w:firstLine="5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E: Activation energy </w:t>
      </w:r>
      <w:r w:rsidDel="00000000" w:rsidR="00000000" w:rsidRPr="00000000">
        <w:rPr>
          <w:rtl w:val="0"/>
        </w:rPr>
      </w:r>
    </w:p>
    <w:p w:rsidR="00000000" w:rsidDel="00000000" w:rsidP="00000000" w:rsidRDefault="00000000" w:rsidRPr="00000000" w14:paraId="00000020">
      <w:pPr>
        <w:widowControl w:val="0"/>
        <w:spacing w:after="0" w:line="240" w:lineRule="auto"/>
        <w:ind w:firstLine="5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R: gas constant </w:t>
      </w:r>
      <w:r w:rsidDel="00000000" w:rsidR="00000000" w:rsidRPr="00000000">
        <w:rPr>
          <w:rtl w:val="0"/>
        </w:rPr>
      </w:r>
    </w:p>
    <w:p w:rsidR="00000000" w:rsidDel="00000000" w:rsidP="00000000" w:rsidRDefault="00000000" w:rsidRPr="00000000" w14:paraId="00000021">
      <w:pPr>
        <w:spacing w:after="0" w:line="240" w:lineRule="auto"/>
        <w:ind w:firstLine="56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16"/>
          <w:szCs w:val="16"/>
          <w:rtl w:val="0"/>
        </w:rPr>
        <w:t xml:space="preserve">T: absolute temperature</w:t>
      </w:r>
      <w:r w:rsidDel="00000000" w:rsidR="00000000" w:rsidRPr="00000000">
        <w:rPr>
          <w:rtl w:val="0"/>
        </w:rPr>
      </w:r>
    </w:p>
    <w:p w:rsidR="00000000" w:rsidDel="00000000" w:rsidP="00000000" w:rsidRDefault="00000000" w:rsidRPr="00000000" w14:paraId="00000022">
      <w:pPr>
        <w:spacing w:after="0" w:line="240" w:lineRule="auto"/>
        <w:ind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Boltzmann factor </w:t>
      </w:r>
      <w:r w:rsidDel="00000000" w:rsidR="00000000" w:rsidRPr="00000000">
        <w:rPr>
          <w:rFonts w:ascii="Times New Roman" w:cs="Times New Roman" w:eastAsia="Times New Roman" w:hAnsi="Times New Roman"/>
          <w:i w:val="1"/>
          <w:sz w:val="20"/>
          <w:szCs w:val="20"/>
          <w:rtl w:val="0"/>
        </w:rPr>
        <w:t xml:space="preserve">exp(</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E / RT) </w:t>
      </w:r>
      <w:r w:rsidDel="00000000" w:rsidR="00000000" w:rsidRPr="00000000">
        <w:rPr>
          <w:rFonts w:ascii="Times New Roman" w:cs="Times New Roman" w:eastAsia="Times New Roman" w:hAnsi="Times New Roman"/>
          <w:sz w:val="20"/>
          <w:szCs w:val="20"/>
          <w:rtl w:val="0"/>
        </w:rPr>
        <w:t xml:space="preserve">is the ratio of the number of molecules with effective collision energy (≧ E; Integrated area above the activation energy, Fig.1) to the total number of collision molecules </w:t>
      </w:r>
      <w:r w:rsidDel="00000000" w:rsidR="00000000" w:rsidRPr="00000000">
        <w:rPr>
          <w:rFonts w:ascii="Times New Roman" w:cs="Times New Roman" w:eastAsia="Times New Roman" w:hAnsi="Times New Roman"/>
          <w:i w:val="1"/>
          <w:sz w:val="20"/>
          <w:szCs w:val="20"/>
          <w:rtl w:val="0"/>
        </w:rPr>
        <w:t xml:space="preserve">A</w:t>
      </w:r>
      <w:r w:rsidDel="00000000" w:rsidR="00000000" w:rsidRPr="00000000">
        <w:rPr>
          <w:rFonts w:ascii="Times New Roman" w:cs="Times New Roman" w:eastAsia="Times New Roman" w:hAnsi="Times New Roman"/>
          <w:sz w:val="20"/>
          <w:szCs w:val="20"/>
          <w:rtl w:val="0"/>
        </w:rPr>
        <w:t xml:space="preserve">, per unit time, concentration, volume.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3476306</wp:posOffset>
            </wp:positionH>
            <wp:positionV relativeFrom="paragraph">
              <wp:posOffset>611984</wp:posOffset>
            </wp:positionV>
            <wp:extent cx="1685658" cy="279281"/>
            <wp:effectExtent b="0" l="0" r="0" t="0"/>
            <wp:wrapNone/>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685658" cy="279281"/>
                    </a:xfrm>
                    <a:prstGeom prst="rect"/>
                    <a:ln/>
                  </pic:spPr>
                </pic:pic>
              </a:graphicData>
            </a:graphic>
          </wp:anchor>
        </w:drawing>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widowControl w:val="0"/>
        <w:spacing w:after="120"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4"/>
          <w:szCs w:val="24"/>
          <w:rtl w:val="0"/>
        </w:rPr>
        <w:t xml:space="preserve">2.2. Rate Determining Step</w:t>
      </w:r>
      <w:r w:rsidDel="00000000" w:rsidR="00000000" w:rsidRPr="00000000">
        <w:drawing>
          <wp:anchor allowOverlap="1" behindDoc="0" distB="0" distT="0" distL="114300" distR="114300" hidden="0" layoutInCell="1" locked="0" relativeHeight="0" simplePos="0">
            <wp:simplePos x="0" y="0"/>
            <wp:positionH relativeFrom="column">
              <wp:posOffset>2970764</wp:posOffset>
            </wp:positionH>
            <wp:positionV relativeFrom="paragraph">
              <wp:posOffset>68026</wp:posOffset>
            </wp:positionV>
            <wp:extent cx="2998470" cy="2322314"/>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998470" cy="2322314"/>
                    </a:xfrm>
                    <a:prstGeom prst="rect"/>
                    <a:ln/>
                  </pic:spPr>
                </pic:pic>
              </a:graphicData>
            </a:graphic>
          </wp:anchor>
        </w:drawing>
      </w:r>
    </w:p>
    <w:p w:rsidR="00000000" w:rsidDel="00000000" w:rsidP="00000000" w:rsidRDefault="00000000" w:rsidRPr="00000000" w14:paraId="00000026">
      <w:pPr>
        <w:widowControl w:val="0"/>
        <w:spacing w:after="0" w:line="240" w:lineRule="auto"/>
        <w:ind w:firstLine="10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The reaction proceeds through several elementary reactions. </w:t>
      </w:r>
    </w:p>
    <w:p w:rsidR="00000000" w:rsidDel="00000000" w:rsidP="00000000" w:rsidRDefault="00000000" w:rsidRPr="00000000" w14:paraId="00000027">
      <w:pPr>
        <w:widowControl w:val="0"/>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02124"/>
          <w:sz w:val="20"/>
          <w:szCs w:val="20"/>
          <w:rtl w:val="0"/>
        </w:rPr>
        <w:t xml:space="preserve">  The rate-determining-step proceeds the slowest, while the others are in equilibrium. In the Haber-Bosch method, dissociation of nitrogen molecule bond is considered to be the rate-determining. The adsorption/ desorption process on catalyst surface causes a decrease in activation energy and an increase in reaction rate. </w:t>
      </w:r>
      <w:r w:rsidDel="00000000" w:rsidR="00000000" w:rsidRPr="00000000">
        <w:rPr>
          <w:rFonts w:ascii="Times New Roman" w:cs="Times New Roman" w:eastAsia="Times New Roman" w:hAnsi="Times New Roman"/>
          <w:color w:val="202124"/>
          <w:sz w:val="20"/>
          <w:szCs w:val="20"/>
          <w:vertAlign w:val="superscript"/>
          <w:rtl w:val="0"/>
        </w:rPr>
        <w:t xml:space="preserve">1., 2. ]  　</w:t>
      </w:r>
      <w:r w:rsidDel="00000000" w:rsidR="00000000" w:rsidRPr="00000000">
        <w:rPr>
          <w:rtl w:val="0"/>
        </w:rPr>
      </w:r>
    </w:p>
    <w:p w:rsidR="00000000" w:rsidDel="00000000" w:rsidP="00000000" w:rsidRDefault="00000000" w:rsidRPr="00000000" w14:paraId="00000028">
      <w:pPr>
        <w:ind w:firstLine="10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The adsorption interaction of a catalyst to the reactant (d-orbital occupancy of catalyst as an index) is primary indicator of catalytic activity (Fig. 3 Sabatier principle). </w:t>
      </w:r>
      <w:r w:rsidDel="00000000" w:rsidR="00000000" w:rsidRPr="00000000">
        <w:rPr>
          <w:rFonts w:ascii="Times New Roman" w:cs="Times New Roman" w:eastAsia="Times New Roman" w:hAnsi="Times New Roman"/>
          <w:color w:val="202124"/>
          <w:sz w:val="20"/>
          <w:szCs w:val="20"/>
          <w:vertAlign w:val="superscript"/>
          <w:rtl w:val="0"/>
        </w:rPr>
        <w:t xml:space="preserve">3, 4. ]　　</w:t>
      </w:r>
      <w:r w:rsidDel="00000000" w:rsidR="00000000" w:rsidRPr="00000000">
        <w:rPr>
          <w:rFonts w:ascii="Times New Roman" w:cs="Times New Roman" w:eastAsia="Times New Roman" w:hAnsi="Times New Roman"/>
          <w:color w:val="202124"/>
          <w:sz w:val="20"/>
          <w:szCs w:val="20"/>
          <w:rtl w:val="0"/>
        </w:rPr>
        <w:t xml:space="preserve">　　</w:t>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3375025</wp:posOffset>
            </wp:positionH>
            <wp:positionV relativeFrom="paragraph">
              <wp:posOffset>14054</wp:posOffset>
            </wp:positionV>
            <wp:extent cx="1622425" cy="400834"/>
            <wp:effectExtent b="0" l="0" r="0" t="0"/>
            <wp:wrapNone/>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622425" cy="400834"/>
                    </a:xfrm>
                    <a:prstGeom prst="rect"/>
                    <a:ln/>
                  </pic:spPr>
                </pic:pic>
              </a:graphicData>
            </a:graphic>
          </wp:anchor>
        </w:drawing>
      </w:r>
    </w:p>
    <w:p w:rsidR="00000000" w:rsidDel="00000000" w:rsidP="00000000" w:rsidRDefault="00000000" w:rsidRPr="00000000" w14:paraId="0000002A">
      <w:pPr>
        <w:spacing w:after="12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2124"/>
          <w:sz w:val="24"/>
          <w:szCs w:val="24"/>
          <w:rtl w:val="0"/>
        </w:rPr>
        <w:t xml:space="preserve">2.3. Sustainable Use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2595245</wp:posOffset>
            </wp:positionH>
            <wp:positionV relativeFrom="paragraph">
              <wp:posOffset>225496</wp:posOffset>
            </wp:positionV>
            <wp:extent cx="2982383" cy="2187081"/>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982383" cy="2187081"/>
                    </a:xfrm>
                    <a:prstGeom prst="rect"/>
                    <a:ln/>
                  </pic:spPr>
                </pic:pic>
              </a:graphicData>
            </a:graphic>
          </wp:anchor>
        </w:drawing>
      </w:r>
    </w:p>
    <w:p w:rsidR="00000000" w:rsidDel="00000000" w:rsidP="00000000" w:rsidRDefault="00000000" w:rsidRPr="00000000" w14:paraId="0000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Rule="auto"/>
        <w:ind w:firstLine="100"/>
        <w:jc w:val="both"/>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Water-gas shift reaction and photolysis of water are taken up as hydrogen gas production reactions, and reaction kinetics and chemical equilibrium theory are considered from the viewpoint of catalysis. </w:t>
      </w:r>
    </w:p>
    <w:p w:rsidR="00000000" w:rsidDel="00000000" w:rsidP="00000000" w:rsidRDefault="00000000" w:rsidRPr="00000000" w14:paraId="0000002C">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3476625</wp:posOffset>
            </wp:positionH>
            <wp:positionV relativeFrom="paragraph">
              <wp:posOffset>267308</wp:posOffset>
            </wp:positionV>
            <wp:extent cx="1503960" cy="375990"/>
            <wp:effectExtent b="0" l="0" r="0" t="0"/>
            <wp:wrapNone/>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503960" cy="375990"/>
                    </a:xfrm>
                    <a:prstGeom prst="rect"/>
                    <a:ln/>
                  </pic:spPr>
                </pic:pic>
              </a:graphicData>
            </a:graphic>
          </wp:anchor>
        </w:drawing>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1"/>
          <w:sz w:val="28"/>
          <w:szCs w:val="28"/>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sz w:val="28"/>
          <w:szCs w:val="28"/>
          <w:rtl w:val="0"/>
        </w:rPr>
        <w:t xml:space="preserve">REFERENCES</w:t>
      </w:r>
    </w:p>
    <w:p w:rsidR="00000000" w:rsidDel="00000000" w:rsidP="00000000" w:rsidRDefault="00000000" w:rsidRPr="00000000" w14:paraId="0000003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 Ertl, Reactions at Surfaces: From Atoms to Complexity </w:t>
      </w:r>
    </w:p>
    <w:p w:rsidR="00000000" w:rsidDel="00000000" w:rsidP="00000000" w:rsidRDefault="00000000" w:rsidRPr="00000000" w14:paraId="00000033">
      <w:pPr>
        <w:widowControl w:val="0"/>
        <w:spacing w:after="0" w:line="240" w:lineRule="auto"/>
        <w:ind w:left="2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(Novel Lecture), </w:t>
      </w:r>
      <w:r w:rsidDel="00000000" w:rsidR="00000000" w:rsidRPr="00000000">
        <w:rPr>
          <w:rFonts w:ascii="Times New Roman" w:cs="Times New Roman" w:eastAsia="Times New Roman" w:hAnsi="Times New Roman"/>
          <w:i w:val="1"/>
          <w:sz w:val="24"/>
          <w:szCs w:val="24"/>
          <w:rtl w:val="0"/>
        </w:rPr>
        <w:t xml:space="preserve">Angew Chemie. Int. Ed., </w:t>
      </w:r>
      <w:r w:rsidDel="00000000" w:rsidR="00000000" w:rsidRPr="00000000">
        <w:rPr>
          <w:rFonts w:ascii="Times New Roman" w:cs="Times New Roman" w:eastAsia="Times New Roman" w:hAnsi="Times New Roman"/>
          <w:sz w:val="24"/>
          <w:szCs w:val="24"/>
          <w:rtl w:val="0"/>
        </w:rPr>
        <w:t xml:space="preserve">47 pp. 3524–3535, </w:t>
      </w:r>
      <w:r w:rsidDel="00000000" w:rsidR="00000000" w:rsidRPr="00000000">
        <w:rPr>
          <w:rFonts w:ascii="Times New Roman" w:cs="Times New Roman" w:eastAsia="Times New Roman" w:hAnsi="Times New Roman"/>
          <w:i w:val="1"/>
          <w:sz w:val="24"/>
          <w:szCs w:val="24"/>
          <w:rtl w:val="0"/>
        </w:rPr>
        <w:t xml:space="preserve">2008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widowControl w:val="0"/>
        <w:spacing w:after="0" w:line="240" w:lineRule="auto"/>
        <w:ind w:left="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 Ertl, Dynamics of Reactions at Surfaces, </w:t>
      </w:r>
      <w:r w:rsidDel="00000000" w:rsidR="00000000" w:rsidRPr="00000000">
        <w:rPr>
          <w:rFonts w:ascii="Times New Roman" w:cs="Times New Roman" w:eastAsia="Times New Roman" w:hAnsi="Times New Roman"/>
          <w:i w:val="1"/>
          <w:sz w:val="24"/>
          <w:szCs w:val="24"/>
          <w:rtl w:val="0"/>
        </w:rPr>
        <w:t xml:space="preserve">ADVANCES IN CATALYSIS.</w:t>
      </w:r>
      <w:r w:rsidDel="00000000" w:rsidR="00000000" w:rsidRPr="00000000">
        <w:rPr>
          <w:rFonts w:ascii="Times New Roman" w:cs="Times New Roman" w:eastAsia="Times New Roman" w:hAnsi="Times New Roman"/>
          <w:sz w:val="24"/>
          <w:szCs w:val="24"/>
          <w:rtl w:val="0"/>
        </w:rPr>
        <w:t xml:space="preserve">, vol. 45, pp. 1–129, 2000. </w:t>
      </w:r>
    </w:p>
    <w:p w:rsidR="00000000" w:rsidDel="00000000" w:rsidP="00000000" w:rsidRDefault="00000000" w:rsidRPr="00000000" w14:paraId="00000035">
      <w:pPr>
        <w:widowControl w:val="0"/>
        <w:spacing w:after="0" w:line="240" w:lineRule="auto"/>
        <w:ind w:left="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 HAMME, and J.K NORSKOV, Theoretical Surface Science and Catalysis-Calculations and Concepts, </w:t>
      </w:r>
      <w:r w:rsidDel="00000000" w:rsidR="00000000" w:rsidRPr="00000000">
        <w:rPr>
          <w:rFonts w:ascii="Times New Roman" w:cs="Times New Roman" w:eastAsia="Times New Roman" w:hAnsi="Times New Roman"/>
          <w:i w:val="1"/>
          <w:sz w:val="24"/>
          <w:szCs w:val="24"/>
          <w:rtl w:val="0"/>
        </w:rPr>
        <w:t xml:space="preserve">ADVANCES IN CATALYSIS.</w:t>
      </w:r>
      <w:r w:rsidDel="00000000" w:rsidR="00000000" w:rsidRPr="00000000">
        <w:rPr>
          <w:rFonts w:ascii="Times New Roman" w:cs="Times New Roman" w:eastAsia="Times New Roman" w:hAnsi="Times New Roman"/>
          <w:sz w:val="24"/>
          <w:szCs w:val="24"/>
          <w:rtl w:val="0"/>
        </w:rPr>
        <w:t xml:space="preserve">, vol. 45, pp.71–69, 2000. </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 Ooka, and R. Nakamura</w:t>
      </w:r>
      <w:r w:rsidDel="00000000" w:rsidR="00000000" w:rsidRPr="00000000">
        <w:rPr>
          <w:rFonts w:ascii="Times New Roman" w:cs="Times New Roman" w:eastAsia="Times New Roman" w:hAnsi="Times New Roman"/>
          <w:i w:val="1"/>
          <w:sz w:val="24"/>
          <w:szCs w:val="24"/>
          <w:rtl w:val="0"/>
        </w:rPr>
        <w:t xml:space="preserve">, J. Phys. Chem Lett.,</w:t>
      </w:r>
      <w:r w:rsidDel="00000000" w:rsidR="00000000" w:rsidRPr="00000000">
        <w:rPr>
          <w:rFonts w:ascii="Times New Roman" w:cs="Times New Roman" w:eastAsia="Times New Roman" w:hAnsi="Times New Roman"/>
          <w:sz w:val="24"/>
          <w:szCs w:val="24"/>
          <w:rtl w:val="0"/>
        </w:rPr>
        <w:t xml:space="preserve">10, pp. 6706- </w:t>
      </w:r>
    </w:p>
    <w:p w:rsidR="00000000" w:rsidDel="00000000" w:rsidP="00000000" w:rsidRDefault="00000000" w:rsidRPr="00000000" w14:paraId="00000037">
      <w:pPr>
        <w:spacing w:after="0" w:line="240" w:lineRule="auto"/>
        <w:ind w:firstLine="1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6713, 2019</w:t>
      </w:r>
    </w:p>
    <w:p w:rsidR="00000000" w:rsidDel="00000000" w:rsidP="00000000" w:rsidRDefault="00000000" w:rsidRPr="00000000" w14:paraId="00000038">
      <w:pPr>
        <w:spacing w:after="0" w:line="240" w:lineRule="auto"/>
        <w:ind w:firstLine="1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A">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36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cs="Times New Roman" w:eastAsia="Times New Roman" w:hAnsi="Times New Roman"/>
          <w:b w:val="1"/>
          <w:color w:val="202124"/>
          <w:sz w:val="28"/>
          <w:szCs w:val="28"/>
        </w:rPr>
      </w:pPr>
      <w:r w:rsidDel="00000000" w:rsidR="00000000" w:rsidRPr="00000000">
        <w:rPr>
          <w:rFonts w:ascii="Times New Roman" w:cs="Times New Roman" w:eastAsia="Times New Roman" w:hAnsi="Times New Roman"/>
          <w:b w:val="1"/>
          <w:color w:val="202124"/>
          <w:sz w:val="28"/>
          <w:szCs w:val="28"/>
          <w:rtl w:val="0"/>
        </w:rPr>
        <w:t xml:space="preserve">Appendix: Curriculum for High School Chemistry</w:t>
      </w:r>
    </w:p>
    <w:p w:rsidR="00000000" w:rsidDel="00000000" w:rsidP="00000000" w:rsidRDefault="00000000" w:rsidRPr="00000000" w14:paraId="0000005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b w:val="1"/>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Substance composition, States of matter</w:t>
      </w:r>
    </w:p>
    <w:p w:rsidR="00000000" w:rsidDel="00000000" w:rsidP="00000000" w:rsidRDefault="00000000" w:rsidRPr="00000000" w14:paraId="000000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Constituent particles, Ions, and periodic table of substances</w:t>
      </w:r>
    </w:p>
    <w:p w:rsidR="00000000" w:rsidDel="00000000" w:rsidP="00000000" w:rsidRDefault="00000000" w:rsidRPr="00000000" w14:paraId="0000005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Chemical bond, Molecular structure, Crystal structure</w:t>
      </w:r>
    </w:p>
    <w:p w:rsidR="00000000" w:rsidDel="00000000" w:rsidP="00000000" w:rsidRDefault="00000000" w:rsidRPr="00000000" w14:paraId="0000005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Three states of matter, Gas law, Solution </w:t>
      </w:r>
    </w:p>
    <w:p w:rsidR="00000000" w:rsidDel="00000000" w:rsidP="00000000" w:rsidRDefault="00000000" w:rsidRPr="00000000" w14:paraId="00000054">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b w:val="1"/>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Stoichiometry, Reaction mechanism</w:t>
      </w:r>
    </w:p>
    <w:p w:rsidR="00000000" w:rsidDel="00000000" w:rsidP="00000000" w:rsidRDefault="00000000" w:rsidRPr="00000000" w14:paraId="0000005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Amount of substance, Chemical reaction formula</w:t>
      </w:r>
    </w:p>
    <w:p w:rsidR="00000000" w:rsidDel="00000000" w:rsidP="00000000" w:rsidRDefault="00000000" w:rsidRPr="00000000" w14:paraId="0000005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Thermochemistry</w:t>
      </w:r>
    </w:p>
    <w:p w:rsidR="00000000" w:rsidDel="00000000" w:rsidP="00000000" w:rsidRDefault="00000000" w:rsidRPr="00000000" w14:paraId="0000005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Reaction rate</w:t>
      </w:r>
    </w:p>
    <w:p w:rsidR="00000000" w:rsidDel="00000000" w:rsidP="00000000" w:rsidRDefault="00000000" w:rsidRPr="00000000" w14:paraId="0000005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Chemical equilibrium</w:t>
      </w:r>
    </w:p>
    <w:p w:rsidR="00000000" w:rsidDel="00000000" w:rsidP="00000000" w:rsidRDefault="00000000" w:rsidRPr="00000000" w14:paraId="0000005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b w:val="1"/>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Role of catalyst   - Arrhenius Equation</w:t>
      </w:r>
    </w:p>
    <w:p w:rsidR="00000000" w:rsidDel="00000000" w:rsidP="00000000" w:rsidRDefault="00000000" w:rsidRPr="00000000" w14:paraId="0000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02"/>
        <w:rPr>
          <w:rFonts w:ascii="Times New Roman" w:cs="Times New Roman" w:eastAsia="Times New Roman" w:hAnsi="Times New Roman"/>
          <w:b w:val="1"/>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                            - Rate-determining-step</w:t>
      </w:r>
    </w:p>
    <w:p w:rsidR="00000000" w:rsidDel="00000000" w:rsidP="00000000" w:rsidRDefault="00000000" w:rsidRPr="00000000" w14:paraId="00000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02"/>
        <w:rPr>
          <w:rFonts w:ascii="Times New Roman" w:cs="Times New Roman" w:eastAsia="Times New Roman" w:hAnsi="Times New Roman"/>
          <w:b w:val="1"/>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                            - Function of catalyst</w:t>
      </w:r>
    </w:p>
    <w:p w:rsidR="00000000" w:rsidDel="00000000" w:rsidP="00000000" w:rsidRDefault="00000000" w:rsidRPr="00000000" w14:paraId="0000005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Acid-base, Ionization degree</w:t>
      </w:r>
    </w:p>
    <w:p w:rsidR="00000000" w:rsidDel="00000000" w:rsidP="00000000" w:rsidRDefault="00000000" w:rsidRPr="00000000" w14:paraId="000000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Redox</w:t>
      </w:r>
    </w:p>
    <w:p w:rsidR="00000000" w:rsidDel="00000000" w:rsidP="00000000" w:rsidRDefault="00000000" w:rsidRPr="00000000" w14:paraId="0000005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Battery, Electrolysis</w:t>
      </w:r>
    </w:p>
    <w:p w:rsidR="00000000" w:rsidDel="00000000" w:rsidP="00000000" w:rsidRDefault="00000000" w:rsidRPr="00000000" w14:paraId="00000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00"/>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Hydrolysis (production of hydrogen)</w:t>
      </w:r>
    </w:p>
    <w:p w:rsidR="00000000" w:rsidDel="00000000" w:rsidP="00000000" w:rsidRDefault="00000000" w:rsidRPr="00000000" w14:paraId="0000006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b w:val="1"/>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Organic compounds</w:t>
      </w:r>
    </w:p>
    <w:p w:rsidR="00000000" w:rsidDel="00000000" w:rsidP="00000000" w:rsidRDefault="00000000" w:rsidRPr="00000000" w14:paraId="0000006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aliphatic compounds, aromatic compounds</w:t>
      </w:r>
    </w:p>
    <w:p w:rsidR="00000000" w:rsidDel="00000000" w:rsidP="00000000" w:rsidRDefault="00000000" w:rsidRPr="00000000" w14:paraId="0000006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Structure and properties of organic compounds</w:t>
      </w:r>
    </w:p>
    <w:p w:rsidR="00000000" w:rsidDel="00000000" w:rsidP="00000000" w:rsidRDefault="00000000" w:rsidRPr="00000000" w14:paraId="0000006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Natural polymer compound</w:t>
      </w:r>
    </w:p>
    <w:p w:rsidR="00000000" w:rsidDel="00000000" w:rsidP="00000000" w:rsidRDefault="00000000" w:rsidRPr="00000000" w14:paraId="0000006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Synthetic polymer compound</w:t>
      </w:r>
    </w:p>
    <w:p w:rsidR="00000000" w:rsidDel="00000000" w:rsidP="00000000" w:rsidRDefault="00000000" w:rsidRPr="00000000" w14:paraId="0000006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b w:val="1"/>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Inorganic chemistry</w:t>
      </w:r>
    </w:p>
    <w:p w:rsidR="00000000" w:rsidDel="00000000" w:rsidP="00000000" w:rsidRDefault="00000000" w:rsidRPr="00000000" w14:paraId="0000006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Metal elements, transition metal elements</w:t>
      </w:r>
    </w:p>
    <w:p w:rsidR="00000000" w:rsidDel="00000000" w:rsidP="00000000" w:rsidRDefault="00000000" w:rsidRPr="00000000" w14:paraId="0000006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Non-metal elements</w:t>
      </w:r>
    </w:p>
    <w:p w:rsidR="00000000" w:rsidDel="00000000" w:rsidP="00000000" w:rsidRDefault="00000000" w:rsidRPr="00000000" w14:paraId="0000006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Cation phylogenetic separation </w:t>
      </w:r>
    </w:p>
    <w:p w:rsidR="00000000" w:rsidDel="00000000" w:rsidP="00000000" w:rsidRDefault="00000000" w:rsidRPr="00000000" w14:paraId="0000006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Solubility product, common-ion effect, fractional precipitation</w:t>
      </w:r>
    </w:p>
    <w:p w:rsidR="00000000" w:rsidDel="00000000" w:rsidP="00000000" w:rsidRDefault="00000000" w:rsidRPr="00000000" w14:paraId="0000006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Various spectroscopic analysis</w:t>
      </w: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b w:val="1"/>
        </w:rPr>
        <w:sectPr>
          <w:headerReference r:id="rId12" w:type="default"/>
          <w:headerReference r:id="rId13" w:type="even"/>
          <w:footerReference r:id="rId14" w:type="default"/>
          <w:footerReference r:id="rId15" w:type="even"/>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6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color w:val="202124"/>
          <w:sz w:val="22"/>
          <w:szCs w:val="22"/>
        </w:rPr>
      </w:pPr>
      <w:r w:rsidDel="00000000" w:rsidR="00000000" w:rsidRPr="00000000">
        <w:rPr>
          <w:rFonts w:ascii="Times New Roman" w:cs="Times New Roman" w:eastAsia="Times New Roman" w:hAnsi="Times New Roman"/>
          <w:color w:val="202124"/>
          <w:rtl w:val="0"/>
        </w:rPr>
        <w:t xml:space="preserve">The following theme settings would be effective to arouse interest and promote understanding of concepts and laws, and cultivate scientific thinking ability </w:t>
      </w:r>
    </w:p>
    <w:p w:rsidR="00000000" w:rsidDel="00000000" w:rsidP="00000000" w:rsidRDefault="00000000" w:rsidRPr="00000000" w14:paraId="00000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0"/>
        <w:rPr>
          <w:rFonts w:ascii="Times New Roman" w:cs="Times New Roman" w:eastAsia="Times New Roman" w:hAnsi="Times New Roman"/>
          <w:color w:val="202124"/>
        </w:rPr>
      </w:pPr>
      <w:r w:rsidDel="00000000" w:rsidR="00000000" w:rsidRPr="00000000">
        <w:rPr>
          <w:rtl w:val="0"/>
        </w:rPr>
      </w:r>
    </w:p>
    <w:p w:rsidR="00000000" w:rsidDel="00000000" w:rsidP="00000000" w:rsidRDefault="00000000" w:rsidRPr="00000000" w14:paraId="0000006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20" w:hanging="42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The smallest particle unit handled in the chemical field, and states of matter</w:t>
      </w:r>
    </w:p>
    <w:p w:rsidR="00000000" w:rsidDel="00000000" w:rsidP="00000000" w:rsidRDefault="00000000" w:rsidRPr="00000000" w14:paraId="0000007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20" w:hanging="42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Industrial Chemistry: Haber-Bosch method, Ostwald method</w:t>
      </w:r>
    </w:p>
    <w:p w:rsidR="00000000" w:rsidDel="00000000" w:rsidP="00000000" w:rsidRDefault="00000000" w:rsidRPr="00000000" w14:paraId="0000007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20" w:hanging="420"/>
        <w:rPr>
          <w:rFonts w:ascii="Times New Roman" w:cs="Times New Roman" w:eastAsia="Times New Roman" w:hAnsi="Times New Roman"/>
          <w:color w:val="202124"/>
        </w:rPr>
        <w:sectPr>
          <w:type w:val="continuous"/>
          <w:pgSz w:h="15840" w:w="12240" w:orient="portrait"/>
          <w:pgMar w:bottom="1440" w:top="1440" w:left="1440" w:right="1440" w:header="1152" w:footer="720"/>
        </w:sectPr>
      </w:pPr>
      <w:r w:rsidDel="00000000" w:rsidR="00000000" w:rsidRPr="00000000">
        <w:rPr>
          <w:rFonts w:ascii="Times New Roman" w:cs="Times New Roman" w:eastAsia="Times New Roman" w:hAnsi="Times New Roman"/>
          <w:color w:val="202124"/>
          <w:rtl w:val="0"/>
        </w:rPr>
        <w:t xml:space="preserve">Petrochemical, Functional Polymer (</w:t>
      </w:r>
      <w:r w:rsidDel="00000000" w:rsidR="00000000" w:rsidRPr="00000000">
        <w:rPr>
          <w:rFonts w:ascii="Times New Roman" w:cs="Times New Roman" w:eastAsia="Times New Roman" w:hAnsi="Times New Roman"/>
          <w:rtl w:val="0"/>
        </w:rPr>
        <w:t xml:space="preserve">Materials Informatics etc.</w:t>
      </w:r>
      <w:r w:rsidDel="00000000" w:rsidR="00000000" w:rsidRPr="00000000">
        <w:rPr>
          <w:rFonts w:ascii="Times New Roman" w:cs="Times New Roman" w:eastAsia="Times New Roman" w:hAnsi="Times New Roman"/>
          <w:color w:val="202124"/>
          <w:rtl w:val="0"/>
        </w:rPr>
        <w:t xml:space="preserve">)</w:t>
      </w:r>
    </w:p>
    <w:p w:rsidR="00000000" w:rsidDel="00000000" w:rsidP="00000000" w:rsidRDefault="00000000" w:rsidRPr="00000000" w14:paraId="0000007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20" w:hanging="42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Characteristics and utilization of inorganic substances, Analytical chemistry</w:t>
      </w:r>
    </w:p>
    <w:p w:rsidR="00000000" w:rsidDel="00000000" w:rsidP="00000000" w:rsidRDefault="00000000" w:rsidRPr="00000000" w14:paraId="00000073">
      <w:pPr>
        <w:spacing w:after="0" w:line="360" w:lineRule="auto"/>
        <w:jc w:val="both"/>
        <w:rPr>
          <w:rFonts w:ascii="Times New Roman" w:cs="Times New Roman" w:eastAsia="Times New Roman" w:hAnsi="Times New Roman"/>
          <w:b w:val="1"/>
          <w:sz w:val="24"/>
          <w:szCs w:val="24"/>
        </w:rPr>
        <w:sectPr>
          <w:type w:val="continuous"/>
          <w:pgSz w:h="15840" w:w="12240" w:orient="portrait"/>
          <w:pgMar w:bottom="1440" w:top="1440" w:left="1440" w:right="1440" w:header="1152" w:footer="720"/>
          <w:cols w:equalWidth="0" w:num="2">
            <w:col w:space="360" w:w="4334.5"/>
            <w:col w:space="0" w:w="4334.5"/>
          </w:cols>
        </w:sectPr>
      </w:pPr>
      <w:r w:rsidDel="00000000" w:rsidR="00000000" w:rsidRPr="00000000">
        <w:rPr>
          <w:rtl w:val="0"/>
        </w:rPr>
      </w:r>
    </w:p>
    <w:p w:rsidR="00000000" w:rsidDel="00000000" w:rsidP="00000000" w:rsidRDefault="00000000" w:rsidRPr="00000000" w14:paraId="00000074">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Book Antiqu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spacing w:after="0" w:line="240" w:lineRule="auto"/>
      <w:ind w:right="360"/>
      <w:rPr>
        <w:rFonts w:ascii="Book Antiqua" w:cs="Book Antiqua" w:eastAsia="Book Antiqua" w:hAnsi="Book Antiqua"/>
        <w:i w:val="1"/>
        <w:sz w:val="20"/>
        <w:szCs w:val="20"/>
      </w:rPr>
    </w:pPr>
    <w:r w:rsidDel="00000000" w:rsidR="00000000" w:rsidRPr="00000000">
      <w:rPr>
        <w:rFonts w:ascii="Book Antiqua" w:cs="Book Antiqua" w:eastAsia="Book Antiqua" w:hAnsi="Book Antiqua"/>
        <w:i w:val="1"/>
        <w:sz w:val="20"/>
        <w:szCs w:val="20"/>
        <w:rtl w:val="0"/>
      </w:rPr>
      <w:t xml:space="preserve">© 2017 The author and Journal. All rights reserved.</w:t>
    </w:r>
  </w:p>
  <w:p w:rsidR="00000000" w:rsidDel="00000000" w:rsidP="00000000" w:rsidRDefault="00000000" w:rsidRPr="00000000" w14:paraId="0000007D">
    <w:pPr>
      <w:spacing w:after="0" w:line="240" w:lineRule="auto"/>
      <w:ind w:right="360"/>
      <w:rPr/>
    </w:pPr>
    <w:r w:rsidDel="00000000" w:rsidR="00000000" w:rsidRPr="00000000">
      <w:rPr>
        <w:sz w:val="20"/>
        <w:szCs w:val="20"/>
        <w:rtl w:val="0"/>
      </w:rPr>
      <w:t xml:space="preserve">Available Online at: journal Website</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text][Type text][Type text]</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Name of Journal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2">
    <w:lvl w:ilvl="0">
      <w:start w:val="1"/>
      <w:numFmt w:val="upperRoman"/>
      <w:lvlText w:val="%1."/>
      <w:lvlJc w:val="left"/>
      <w:pPr>
        <w:ind w:left="620" w:hanging="420"/>
      </w:pPr>
      <w:rPr/>
    </w:lvl>
    <w:lvl w:ilvl="1">
      <w:start w:val="1"/>
      <w:numFmt w:val="decimal"/>
      <w:lvlText w:val="(%2)"/>
      <w:lvlJc w:val="left"/>
      <w:pPr>
        <w:ind w:left="1040" w:hanging="420"/>
      </w:pPr>
      <w:rPr/>
    </w:lvl>
    <w:lvl w:ilvl="2">
      <w:start w:val="1"/>
      <w:numFmt w:val="decimal"/>
      <w:lvlText w:val="%3"/>
      <w:lvlJc w:val="left"/>
      <w:pPr>
        <w:ind w:left="1460" w:hanging="420"/>
      </w:pPr>
      <w:rPr/>
    </w:lvl>
    <w:lvl w:ilvl="3">
      <w:start w:val="1"/>
      <w:numFmt w:val="decimal"/>
      <w:lvlText w:val="%4."/>
      <w:lvlJc w:val="left"/>
      <w:pPr>
        <w:ind w:left="1880" w:hanging="420"/>
      </w:pPr>
      <w:rPr/>
    </w:lvl>
    <w:lvl w:ilvl="4">
      <w:start w:val="1"/>
      <w:numFmt w:val="decimal"/>
      <w:lvlText w:val="(%5)"/>
      <w:lvlJc w:val="left"/>
      <w:pPr>
        <w:ind w:left="2300" w:hanging="420"/>
      </w:pPr>
      <w:rPr/>
    </w:lvl>
    <w:lvl w:ilvl="5">
      <w:start w:val="1"/>
      <w:numFmt w:val="decimal"/>
      <w:lvlText w:val="%6"/>
      <w:lvlJc w:val="left"/>
      <w:pPr>
        <w:ind w:left="2720" w:hanging="420"/>
      </w:pPr>
      <w:rPr/>
    </w:lvl>
    <w:lvl w:ilvl="6">
      <w:start w:val="1"/>
      <w:numFmt w:val="decimal"/>
      <w:lvlText w:val="%7."/>
      <w:lvlJc w:val="left"/>
      <w:pPr>
        <w:ind w:left="3140" w:hanging="420"/>
      </w:pPr>
      <w:rPr/>
    </w:lvl>
    <w:lvl w:ilvl="7">
      <w:start w:val="1"/>
      <w:numFmt w:val="decimal"/>
      <w:lvlText w:val="(%8)"/>
      <w:lvlJc w:val="left"/>
      <w:pPr>
        <w:ind w:left="3560" w:hanging="420"/>
      </w:pPr>
      <w:rPr/>
    </w:lvl>
    <w:lvl w:ilvl="8">
      <w:start w:val="1"/>
      <w:numFmt w:val="decimal"/>
      <w:lvlText w:val="%9"/>
      <w:lvlJc w:val="left"/>
      <w:pPr>
        <w:ind w:left="3980" w:hanging="420"/>
      </w:pPr>
      <w:rPr/>
    </w:lvl>
  </w:abstractNum>
  <w:abstractNum w:abstractNumId="3">
    <w:lvl w:ilvl="0">
      <w:start w:val="1"/>
      <w:numFmt w:val="decimal"/>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4">
    <w:lvl w:ilvl="0">
      <w:start w:val="1"/>
      <w:numFmt w:val="decimal"/>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5">
    <w:lvl w:ilvl="0">
      <w:start w:val="11"/>
      <w:numFmt w:val="bullet"/>
      <w:lvlText w:val="※"/>
      <w:lvlJc w:val="left"/>
      <w:pPr>
        <w:ind w:left="360" w:hanging="360"/>
      </w:pPr>
      <w:rPr>
        <w:rFonts w:ascii="Times New Roman" w:cs="Times New Roman" w:eastAsia="Times New Roman" w:hAnsi="Times New Roman"/>
        <w:sz w:val="20"/>
        <w:szCs w:val="20"/>
      </w:rPr>
    </w:lvl>
    <w:lvl w:ilvl="1">
      <w:start w:val="1"/>
      <w:numFmt w:val="bullet"/>
      <w:lvlText w:val="⮚"/>
      <w:lvlJc w:val="left"/>
      <w:pPr>
        <w:ind w:left="840" w:hanging="420"/>
      </w:pPr>
      <w:rPr>
        <w:rFonts w:ascii="Noto Sans Symbols" w:cs="Noto Sans Symbols" w:eastAsia="Noto Sans Symbols" w:hAnsi="Noto Sans Symbols"/>
      </w:rPr>
    </w:lvl>
    <w:lvl w:ilvl="2">
      <w:start w:val="1"/>
      <w:numFmt w:val="bullet"/>
      <w:lvlText w:val="✧"/>
      <w:lvlJc w:val="left"/>
      <w:pPr>
        <w:ind w:left="1260" w:hanging="420"/>
      </w:pPr>
      <w:rPr>
        <w:rFonts w:ascii="Noto Sans Symbols" w:cs="Noto Sans Symbols" w:eastAsia="Noto Sans Symbols" w:hAnsi="Noto Sans Symbols"/>
      </w:rPr>
    </w:lvl>
    <w:lvl w:ilvl="3">
      <w:start w:val="1"/>
      <w:numFmt w:val="bullet"/>
      <w:lvlText w:val="●"/>
      <w:lvlJc w:val="left"/>
      <w:pPr>
        <w:ind w:left="1680" w:hanging="420"/>
      </w:pPr>
      <w:rPr>
        <w:rFonts w:ascii="Noto Sans Symbols" w:cs="Noto Sans Symbols" w:eastAsia="Noto Sans Symbols" w:hAnsi="Noto Sans Symbols"/>
      </w:rPr>
    </w:lvl>
    <w:lvl w:ilvl="4">
      <w:start w:val="1"/>
      <w:numFmt w:val="bullet"/>
      <w:lvlText w:val="⮚"/>
      <w:lvlJc w:val="left"/>
      <w:pPr>
        <w:ind w:left="2100" w:hanging="420"/>
      </w:pPr>
      <w:rPr>
        <w:rFonts w:ascii="Noto Sans Symbols" w:cs="Noto Sans Symbols" w:eastAsia="Noto Sans Symbols" w:hAnsi="Noto Sans Symbols"/>
      </w:rPr>
    </w:lvl>
    <w:lvl w:ilvl="5">
      <w:start w:val="1"/>
      <w:numFmt w:val="bullet"/>
      <w:lvlText w:val="✧"/>
      <w:lvlJc w:val="left"/>
      <w:pPr>
        <w:ind w:left="2520" w:hanging="420"/>
      </w:pPr>
      <w:rPr>
        <w:rFonts w:ascii="Noto Sans Symbols" w:cs="Noto Sans Symbols" w:eastAsia="Noto Sans Symbols" w:hAnsi="Noto Sans Symbols"/>
      </w:rPr>
    </w:lvl>
    <w:lvl w:ilvl="6">
      <w:start w:val="1"/>
      <w:numFmt w:val="bullet"/>
      <w:lvlText w:val="●"/>
      <w:lvlJc w:val="left"/>
      <w:pPr>
        <w:ind w:left="2940" w:hanging="420"/>
      </w:pPr>
      <w:rPr>
        <w:rFonts w:ascii="Noto Sans Symbols" w:cs="Noto Sans Symbols" w:eastAsia="Noto Sans Symbols" w:hAnsi="Noto Sans Symbols"/>
      </w:rPr>
    </w:lvl>
    <w:lvl w:ilvl="7">
      <w:start w:val="1"/>
      <w:numFmt w:val="bullet"/>
      <w:lvlText w:val="⮚"/>
      <w:lvlJc w:val="left"/>
      <w:pPr>
        <w:ind w:left="3360" w:hanging="420"/>
      </w:pPr>
      <w:rPr>
        <w:rFonts w:ascii="Noto Sans Symbols" w:cs="Noto Sans Symbols" w:eastAsia="Noto Sans Symbols" w:hAnsi="Noto Sans Symbols"/>
      </w:rPr>
    </w:lvl>
    <w:lvl w:ilvl="8">
      <w:start w:val="1"/>
      <w:numFmt w:val="bullet"/>
      <w:lvlText w:val="✧"/>
      <w:lvlJc w:val="left"/>
      <w:pPr>
        <w:ind w:left="3780" w:hanging="420"/>
      </w:pPr>
      <w:rPr>
        <w:rFonts w:ascii="Noto Sans Symbols" w:cs="Noto Sans Symbols" w:eastAsia="Noto Sans Symbols" w:hAnsi="Noto Sans Symbols"/>
      </w:rPr>
    </w:lvl>
  </w:abstractNum>
  <w:abstractNum w:abstractNumId="6">
    <w:lvl w:ilvl="0">
      <w:start w:val="1"/>
      <w:numFmt w:val="decimal"/>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7">
    <w:lvl w:ilvl="0">
      <w:start w:val="1"/>
      <w:numFmt w:val="decimal"/>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