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9436" w14:textId="7256797A" w:rsidR="00D6589C" w:rsidRDefault="00D6589C" w:rsidP="00673E91">
      <w:pPr>
        <w:jc w:val="center"/>
        <w:rPr>
          <w:rFonts w:ascii="Cambria" w:hAnsi="Cambria"/>
          <w:sz w:val="24"/>
          <w:szCs w:val="24"/>
          <w:lang w:val="en-GB"/>
        </w:rPr>
      </w:pPr>
      <w:proofErr w:type="spellStart"/>
      <w:r w:rsidRPr="009E0F3B">
        <w:rPr>
          <w:rFonts w:ascii="Cambria" w:hAnsi="Cambria"/>
          <w:sz w:val="24"/>
          <w:szCs w:val="24"/>
          <w:lang w:val="en-GB"/>
        </w:rPr>
        <w:t>Žemlička</w:t>
      </w:r>
      <w:proofErr w:type="spellEnd"/>
      <w:r>
        <w:rPr>
          <w:rFonts w:ascii="Cambria" w:hAnsi="Cambria"/>
          <w:sz w:val="24"/>
          <w:szCs w:val="24"/>
          <w:lang w:val="en-GB"/>
        </w:rPr>
        <w:t>, Adrián</w:t>
      </w:r>
      <w:r w:rsidR="00673E91">
        <w:rPr>
          <w:rStyle w:val="Lbjegyzet-hivatkozs"/>
          <w:rFonts w:ascii="Cambria" w:hAnsi="Cambria"/>
          <w:sz w:val="24"/>
          <w:szCs w:val="24"/>
          <w:lang w:val="en-GB"/>
        </w:rPr>
        <w:footnoteReference w:id="1"/>
      </w:r>
      <w:r>
        <w:rPr>
          <w:rFonts w:ascii="Cambria" w:hAnsi="Cambria"/>
          <w:sz w:val="24"/>
          <w:szCs w:val="24"/>
          <w:lang w:val="en-GB"/>
        </w:rPr>
        <w:t xml:space="preserve"> – </w:t>
      </w:r>
      <w:proofErr w:type="spellStart"/>
      <w:r>
        <w:rPr>
          <w:rFonts w:ascii="Cambria" w:hAnsi="Cambria"/>
          <w:sz w:val="24"/>
          <w:szCs w:val="24"/>
          <w:lang w:val="en-GB"/>
        </w:rPr>
        <w:t>Szabó</w:t>
      </w:r>
      <w:proofErr w:type="spellEnd"/>
      <w:r>
        <w:rPr>
          <w:rFonts w:ascii="Cambria" w:hAnsi="Cambria"/>
          <w:sz w:val="24"/>
          <w:szCs w:val="24"/>
          <w:lang w:val="en-GB"/>
        </w:rPr>
        <w:t xml:space="preserve"> L., </w:t>
      </w:r>
      <w:proofErr w:type="spellStart"/>
      <w:r>
        <w:rPr>
          <w:rFonts w:ascii="Cambria" w:hAnsi="Cambria"/>
          <w:sz w:val="24"/>
          <w:szCs w:val="24"/>
          <w:lang w:val="en-GB"/>
        </w:rPr>
        <w:t>Dávid</w:t>
      </w:r>
      <w:proofErr w:type="spellEnd"/>
      <w:r w:rsidR="00673E91">
        <w:rPr>
          <w:rStyle w:val="Lbjegyzet-hivatkozs"/>
          <w:rFonts w:ascii="Cambria" w:hAnsi="Cambria"/>
          <w:sz w:val="24"/>
          <w:szCs w:val="24"/>
          <w:lang w:val="en-GB"/>
        </w:rPr>
        <w:footnoteReference w:id="2"/>
      </w:r>
      <w:r>
        <w:rPr>
          <w:rFonts w:ascii="Cambria" w:hAnsi="Cambria"/>
          <w:sz w:val="24"/>
          <w:szCs w:val="24"/>
          <w:lang w:val="en-GB"/>
        </w:rPr>
        <w:t xml:space="preserve"> – </w:t>
      </w:r>
      <w:proofErr w:type="spellStart"/>
      <w:r>
        <w:rPr>
          <w:rFonts w:ascii="Cambria" w:hAnsi="Cambria"/>
          <w:sz w:val="24"/>
          <w:szCs w:val="24"/>
          <w:lang w:val="en-GB"/>
        </w:rPr>
        <w:t>Tóthová</w:t>
      </w:r>
      <w:proofErr w:type="spellEnd"/>
      <w:r>
        <w:rPr>
          <w:rFonts w:ascii="Cambria" w:hAnsi="Cambria"/>
          <w:sz w:val="24"/>
          <w:szCs w:val="24"/>
          <w:lang w:val="en-GB"/>
        </w:rPr>
        <w:t xml:space="preserve"> </w:t>
      </w:r>
      <w:proofErr w:type="spellStart"/>
      <w:r>
        <w:rPr>
          <w:rFonts w:ascii="Cambria" w:hAnsi="Cambria"/>
          <w:sz w:val="24"/>
          <w:szCs w:val="24"/>
          <w:lang w:val="en-GB"/>
        </w:rPr>
        <w:t>Tarová</w:t>
      </w:r>
      <w:proofErr w:type="spellEnd"/>
      <w:r>
        <w:rPr>
          <w:rFonts w:ascii="Cambria" w:hAnsi="Cambria"/>
          <w:sz w:val="24"/>
          <w:szCs w:val="24"/>
          <w:lang w:val="en-GB"/>
        </w:rPr>
        <w:t>, Eva</w:t>
      </w:r>
      <w:r w:rsidR="00673E91">
        <w:rPr>
          <w:rStyle w:val="Lbjegyzet-hivatkozs"/>
          <w:rFonts w:ascii="Cambria" w:hAnsi="Cambria"/>
          <w:sz w:val="24"/>
          <w:szCs w:val="24"/>
          <w:lang w:val="en-GB"/>
        </w:rPr>
        <w:footnoteReference w:id="3"/>
      </w:r>
      <w:r>
        <w:rPr>
          <w:rFonts w:ascii="Cambria" w:hAnsi="Cambria"/>
          <w:sz w:val="24"/>
          <w:szCs w:val="24"/>
          <w:lang w:val="en-GB"/>
        </w:rPr>
        <w:t xml:space="preserve"> – </w:t>
      </w:r>
      <w:proofErr w:type="spellStart"/>
      <w:r>
        <w:rPr>
          <w:rFonts w:ascii="Cambria" w:hAnsi="Cambria"/>
          <w:sz w:val="24"/>
          <w:szCs w:val="24"/>
          <w:lang w:val="en-GB"/>
        </w:rPr>
        <w:t>Pauliková</w:t>
      </w:r>
      <w:proofErr w:type="spellEnd"/>
      <w:r>
        <w:rPr>
          <w:rFonts w:ascii="Cambria" w:hAnsi="Cambria"/>
          <w:sz w:val="24"/>
          <w:szCs w:val="24"/>
          <w:lang w:val="en-GB"/>
        </w:rPr>
        <w:t xml:space="preserve">, </w:t>
      </w:r>
      <w:proofErr w:type="spellStart"/>
      <w:r>
        <w:rPr>
          <w:rFonts w:ascii="Cambria" w:hAnsi="Cambria"/>
          <w:sz w:val="24"/>
          <w:szCs w:val="24"/>
          <w:lang w:val="en-GB"/>
        </w:rPr>
        <w:t>Klaudia</w:t>
      </w:r>
      <w:proofErr w:type="spellEnd"/>
      <w:r w:rsidR="00673E91">
        <w:rPr>
          <w:rStyle w:val="Lbjegyzet-hivatkozs"/>
          <w:rFonts w:ascii="Cambria" w:hAnsi="Cambria"/>
          <w:sz w:val="24"/>
          <w:szCs w:val="24"/>
          <w:lang w:val="en-GB"/>
        </w:rPr>
        <w:footnoteReference w:id="4"/>
      </w:r>
    </w:p>
    <w:p w14:paraId="3ACF65B9" w14:textId="5F9ABAF1" w:rsidR="00D6589C" w:rsidRPr="00673E91" w:rsidRDefault="00673E91" w:rsidP="00673E91">
      <w:pPr>
        <w:jc w:val="center"/>
        <w:rPr>
          <w:rFonts w:ascii="Cambria" w:hAnsi="Cambria"/>
          <w:b/>
          <w:bCs/>
          <w:sz w:val="24"/>
          <w:szCs w:val="24"/>
          <w:lang w:val="en-GB"/>
        </w:rPr>
      </w:pPr>
      <w:r w:rsidRPr="00673E91">
        <w:rPr>
          <w:rFonts w:ascii="Cambria" w:hAnsi="Cambria"/>
          <w:b/>
          <w:bCs/>
          <w:sz w:val="24"/>
          <w:szCs w:val="24"/>
          <w:lang w:val="en-GB"/>
        </w:rPr>
        <w:t xml:space="preserve">Perspectives of university students </w:t>
      </w:r>
      <w:r>
        <w:rPr>
          <w:rFonts w:ascii="Cambria" w:hAnsi="Cambria"/>
          <w:b/>
          <w:bCs/>
          <w:sz w:val="24"/>
          <w:szCs w:val="24"/>
          <w:lang w:val="en-GB"/>
        </w:rPr>
        <w:t>of</w:t>
      </w:r>
      <w:r w:rsidRPr="00673E91">
        <w:rPr>
          <w:rFonts w:ascii="Cambria" w:hAnsi="Cambria"/>
          <w:b/>
          <w:bCs/>
          <w:sz w:val="24"/>
          <w:szCs w:val="24"/>
          <w:lang w:val="en-GB"/>
        </w:rPr>
        <w:t xml:space="preserve"> the Carpathian Basin </w:t>
      </w:r>
      <w:r>
        <w:rPr>
          <w:rFonts w:ascii="Cambria" w:hAnsi="Cambria"/>
          <w:b/>
          <w:bCs/>
          <w:sz w:val="24"/>
          <w:szCs w:val="24"/>
          <w:lang w:val="en-GB"/>
        </w:rPr>
        <w:t>on</w:t>
      </w:r>
      <w:r w:rsidRPr="00673E91">
        <w:rPr>
          <w:rFonts w:ascii="Cambria" w:hAnsi="Cambria"/>
          <w:b/>
          <w:bCs/>
          <w:sz w:val="24"/>
          <w:szCs w:val="24"/>
          <w:lang w:val="en-GB"/>
        </w:rPr>
        <w:t xml:space="preserve"> the </w:t>
      </w:r>
      <w:r>
        <w:rPr>
          <w:rFonts w:ascii="Cambria" w:hAnsi="Cambria"/>
          <w:b/>
          <w:bCs/>
          <w:sz w:val="24"/>
          <w:szCs w:val="24"/>
          <w:lang w:val="en-GB"/>
        </w:rPr>
        <w:t>loss</w:t>
      </w:r>
      <w:r w:rsidRPr="00673E91">
        <w:rPr>
          <w:rFonts w:ascii="Cambria" w:hAnsi="Cambria"/>
          <w:b/>
          <w:bCs/>
          <w:sz w:val="24"/>
          <w:szCs w:val="24"/>
          <w:lang w:val="en-GB"/>
        </w:rPr>
        <w:t xml:space="preserve"> of teacher authority</w:t>
      </w:r>
    </w:p>
    <w:p w14:paraId="36DDBDE3" w14:textId="77777777" w:rsidR="00673E91" w:rsidRDefault="00673E91" w:rsidP="00F20BAC">
      <w:pPr>
        <w:jc w:val="both"/>
        <w:rPr>
          <w:rFonts w:ascii="Cambria" w:hAnsi="Cambria"/>
          <w:b/>
          <w:sz w:val="24"/>
          <w:szCs w:val="24"/>
          <w:lang w:val="en-GB"/>
        </w:rPr>
      </w:pPr>
    </w:p>
    <w:p w14:paraId="01894AE9" w14:textId="3F1F9CCE" w:rsidR="00AF0FCE" w:rsidRPr="009E0F3B" w:rsidRDefault="00F20BAC" w:rsidP="00F20BAC">
      <w:pPr>
        <w:jc w:val="both"/>
        <w:rPr>
          <w:rFonts w:ascii="Cambria" w:hAnsi="Cambria"/>
          <w:b/>
          <w:sz w:val="24"/>
          <w:szCs w:val="24"/>
          <w:lang w:val="en-GB"/>
        </w:rPr>
      </w:pPr>
      <w:r w:rsidRPr="009E0F3B">
        <w:rPr>
          <w:rFonts w:ascii="Cambria" w:hAnsi="Cambria"/>
          <w:b/>
          <w:sz w:val="24"/>
          <w:szCs w:val="24"/>
          <w:lang w:val="en-GB"/>
        </w:rPr>
        <w:t xml:space="preserve">Abstract </w:t>
      </w:r>
    </w:p>
    <w:p w14:paraId="0B0B6C0B" w14:textId="2DF002ED" w:rsidR="00F20BAC" w:rsidRPr="009E0F3B" w:rsidRDefault="00F20BAC" w:rsidP="00F20BAC">
      <w:pPr>
        <w:jc w:val="both"/>
        <w:rPr>
          <w:rFonts w:ascii="Cambria" w:hAnsi="Cambria"/>
          <w:sz w:val="24"/>
          <w:szCs w:val="24"/>
          <w:lang w:val="en-GB"/>
        </w:rPr>
      </w:pPr>
      <w:r w:rsidRPr="009E0F3B">
        <w:rPr>
          <w:rFonts w:ascii="Cambria" w:hAnsi="Cambria"/>
          <w:sz w:val="24"/>
          <w:szCs w:val="24"/>
          <w:lang w:val="en-GB"/>
        </w:rPr>
        <w:t xml:space="preserve">The study </w:t>
      </w:r>
      <w:r w:rsidR="00CE6CC6" w:rsidRPr="009E0F3B">
        <w:rPr>
          <w:rFonts w:ascii="Cambria" w:hAnsi="Cambria"/>
          <w:sz w:val="24"/>
          <w:szCs w:val="24"/>
          <w:lang w:val="en-GB"/>
        </w:rPr>
        <w:t xml:space="preserve">examines the perceptions </w:t>
      </w:r>
      <w:r w:rsidRPr="009E0F3B">
        <w:rPr>
          <w:rFonts w:ascii="Cambria" w:hAnsi="Cambria"/>
          <w:sz w:val="24"/>
          <w:szCs w:val="24"/>
          <w:lang w:val="en-GB"/>
        </w:rPr>
        <w:t xml:space="preserve">of university students </w:t>
      </w:r>
      <w:r w:rsidR="00CE6CC6" w:rsidRPr="009E0F3B">
        <w:rPr>
          <w:rFonts w:ascii="Cambria" w:hAnsi="Cambria"/>
          <w:sz w:val="24"/>
          <w:szCs w:val="24"/>
          <w:lang w:val="en-GB"/>
        </w:rPr>
        <w:t>in Hungarian-language institutions in several countries in the Carpathian basin with regards to teacher authority and the loss of authority</w:t>
      </w:r>
      <w:r w:rsidRPr="009E0F3B">
        <w:rPr>
          <w:rFonts w:ascii="Cambria" w:hAnsi="Cambria"/>
          <w:sz w:val="24"/>
          <w:szCs w:val="24"/>
          <w:lang w:val="en-GB"/>
        </w:rPr>
        <w:t>. The theoretical background portrays the requirements on an ideal teacher</w:t>
      </w:r>
      <w:r w:rsidR="00CE6CC6" w:rsidRPr="009E0F3B">
        <w:rPr>
          <w:rFonts w:ascii="Cambria" w:hAnsi="Cambria"/>
          <w:sz w:val="24"/>
          <w:szCs w:val="24"/>
          <w:lang w:val="en-GB"/>
        </w:rPr>
        <w:t>, their characteristic features, as well as the evolution</w:t>
      </w:r>
      <w:r w:rsidR="008A7A12" w:rsidRPr="009E0F3B">
        <w:rPr>
          <w:rFonts w:ascii="Cambria" w:hAnsi="Cambria"/>
          <w:sz w:val="24"/>
          <w:szCs w:val="24"/>
          <w:lang w:val="en-GB"/>
        </w:rPr>
        <w:t xml:space="preserve"> of these attributes over time. Expectations for teachers are examined within three dimensions, with the dimension addressing teacher personality traits being dominant in this study</w:t>
      </w:r>
      <w:r w:rsidRPr="009E0F3B">
        <w:rPr>
          <w:rFonts w:ascii="Cambria" w:hAnsi="Cambria"/>
          <w:sz w:val="24"/>
          <w:szCs w:val="24"/>
          <w:lang w:val="en-GB"/>
        </w:rPr>
        <w:t xml:space="preserve">. </w:t>
      </w:r>
      <w:r w:rsidR="008A7A12" w:rsidRPr="009E0F3B">
        <w:rPr>
          <w:rFonts w:ascii="Cambria" w:hAnsi="Cambria"/>
          <w:sz w:val="24"/>
          <w:szCs w:val="24"/>
          <w:lang w:val="en-GB"/>
        </w:rPr>
        <w:t>Utilizing</w:t>
      </w:r>
      <w:r w:rsidRPr="009E0F3B">
        <w:rPr>
          <w:rFonts w:ascii="Cambria" w:hAnsi="Cambria"/>
          <w:sz w:val="24"/>
          <w:szCs w:val="24"/>
          <w:lang w:val="en-GB"/>
        </w:rPr>
        <w:t xml:space="preserve"> the Big Five </w:t>
      </w:r>
      <w:r w:rsidR="008A7A12" w:rsidRPr="009E0F3B">
        <w:rPr>
          <w:rFonts w:ascii="Cambria" w:hAnsi="Cambria"/>
          <w:sz w:val="24"/>
          <w:szCs w:val="24"/>
          <w:lang w:val="en-GB"/>
        </w:rPr>
        <w:t xml:space="preserve">personality </w:t>
      </w:r>
      <w:r w:rsidRPr="009E0F3B">
        <w:rPr>
          <w:rFonts w:ascii="Cambria" w:hAnsi="Cambria"/>
          <w:sz w:val="24"/>
          <w:szCs w:val="24"/>
          <w:lang w:val="en-GB"/>
        </w:rPr>
        <w:t xml:space="preserve">model, each trait is perceived as a spectrum. The study </w:t>
      </w:r>
      <w:r w:rsidR="008A7A12" w:rsidRPr="009E0F3B">
        <w:rPr>
          <w:rFonts w:ascii="Cambria" w:hAnsi="Cambria"/>
          <w:sz w:val="24"/>
          <w:szCs w:val="24"/>
          <w:lang w:val="en-GB"/>
        </w:rPr>
        <w:t xml:space="preserve">encompasses responses from a </w:t>
      </w:r>
      <w:r w:rsidR="00F8285D" w:rsidRPr="009E0F3B">
        <w:rPr>
          <w:rFonts w:ascii="Cambria" w:hAnsi="Cambria"/>
          <w:sz w:val="24"/>
          <w:szCs w:val="24"/>
          <w:lang w:val="en-GB"/>
        </w:rPr>
        <w:t>total</w:t>
      </w:r>
      <w:r w:rsidRPr="009E0F3B">
        <w:rPr>
          <w:rFonts w:ascii="Cambria" w:hAnsi="Cambria"/>
          <w:sz w:val="24"/>
          <w:szCs w:val="24"/>
          <w:lang w:val="en-GB"/>
        </w:rPr>
        <w:t xml:space="preserve"> of 1037 university students </w:t>
      </w:r>
      <w:r w:rsidR="008A7A12" w:rsidRPr="009E0F3B">
        <w:rPr>
          <w:rFonts w:ascii="Cambria" w:hAnsi="Cambria"/>
          <w:sz w:val="24"/>
          <w:szCs w:val="24"/>
          <w:lang w:val="en-GB"/>
        </w:rPr>
        <w:t>to a questionnaire, with data processed and analysed via</w:t>
      </w:r>
      <w:r w:rsidR="00F8285D" w:rsidRPr="009E0F3B">
        <w:rPr>
          <w:rFonts w:ascii="Cambria" w:hAnsi="Cambria"/>
          <w:sz w:val="24"/>
          <w:szCs w:val="24"/>
          <w:lang w:val="en-GB"/>
        </w:rPr>
        <w:t xml:space="preserve"> the</w:t>
      </w:r>
      <w:r w:rsidRPr="009E0F3B">
        <w:rPr>
          <w:rFonts w:ascii="Cambria" w:hAnsi="Cambria"/>
          <w:sz w:val="24"/>
          <w:szCs w:val="24"/>
          <w:lang w:val="en-GB"/>
        </w:rPr>
        <w:t xml:space="preserve"> statistical </w:t>
      </w:r>
      <w:r w:rsidR="008A7A12" w:rsidRPr="009E0F3B">
        <w:rPr>
          <w:rFonts w:ascii="Cambria" w:hAnsi="Cambria"/>
          <w:sz w:val="24"/>
          <w:szCs w:val="24"/>
          <w:lang w:val="en-GB"/>
        </w:rPr>
        <w:t>software</w:t>
      </w:r>
      <w:r w:rsidRPr="009E0F3B">
        <w:rPr>
          <w:rFonts w:ascii="Cambria" w:hAnsi="Cambria"/>
          <w:sz w:val="24"/>
          <w:szCs w:val="24"/>
          <w:lang w:val="en-GB"/>
        </w:rPr>
        <w:t xml:space="preserve"> SPSS. </w:t>
      </w:r>
      <w:r w:rsidR="00F8285D" w:rsidRPr="009E0F3B">
        <w:rPr>
          <w:rFonts w:ascii="Cambria" w:hAnsi="Cambria"/>
          <w:sz w:val="24"/>
          <w:szCs w:val="24"/>
          <w:lang w:val="en-GB"/>
        </w:rPr>
        <w:t>The findings of the study indicate that</w:t>
      </w:r>
      <w:r w:rsidRPr="009E0F3B">
        <w:rPr>
          <w:rFonts w:ascii="Cambria" w:hAnsi="Cambria"/>
          <w:sz w:val="24"/>
          <w:szCs w:val="24"/>
          <w:lang w:val="en-GB"/>
        </w:rPr>
        <w:t xml:space="preserve"> the most characteristic features of an authoritative </w:t>
      </w:r>
      <w:r w:rsidR="00F8285D" w:rsidRPr="009E0F3B">
        <w:rPr>
          <w:rFonts w:ascii="Cambria" w:hAnsi="Cambria"/>
          <w:sz w:val="24"/>
          <w:szCs w:val="24"/>
          <w:lang w:val="en-GB"/>
        </w:rPr>
        <w:t xml:space="preserve">teacher </w:t>
      </w:r>
      <w:r w:rsidRPr="009E0F3B">
        <w:rPr>
          <w:rFonts w:ascii="Cambria" w:hAnsi="Cambria"/>
          <w:sz w:val="24"/>
          <w:szCs w:val="24"/>
          <w:lang w:val="en-GB"/>
        </w:rPr>
        <w:t xml:space="preserve">are </w:t>
      </w:r>
      <w:r w:rsidR="00F8285D" w:rsidRPr="009E0F3B">
        <w:rPr>
          <w:rFonts w:ascii="Cambria" w:hAnsi="Cambria"/>
          <w:sz w:val="24"/>
          <w:szCs w:val="24"/>
          <w:lang w:val="en-GB"/>
        </w:rPr>
        <w:t xml:space="preserve">being strict, respectful, firm, kind, </w:t>
      </w:r>
      <w:r w:rsidRPr="009E0F3B">
        <w:rPr>
          <w:rFonts w:ascii="Cambria" w:hAnsi="Cambria"/>
          <w:sz w:val="24"/>
          <w:szCs w:val="24"/>
          <w:lang w:val="en-GB"/>
        </w:rPr>
        <w:t xml:space="preserve">and helpful. </w:t>
      </w:r>
      <w:r w:rsidR="00F8285D" w:rsidRPr="009E0F3B">
        <w:rPr>
          <w:rFonts w:ascii="Cambria" w:hAnsi="Cambria"/>
          <w:sz w:val="24"/>
          <w:szCs w:val="24"/>
          <w:lang w:val="en-GB"/>
        </w:rPr>
        <w:t xml:space="preserve">The loss of authority, on the other hand, is </w:t>
      </w:r>
      <w:r w:rsidRPr="009E0F3B">
        <w:rPr>
          <w:rFonts w:ascii="Cambria" w:hAnsi="Cambria"/>
          <w:sz w:val="24"/>
          <w:szCs w:val="24"/>
          <w:lang w:val="en-GB"/>
        </w:rPr>
        <w:t xml:space="preserve">most likely </w:t>
      </w:r>
      <w:r w:rsidR="00F8285D" w:rsidRPr="009E0F3B">
        <w:rPr>
          <w:rFonts w:ascii="Cambria" w:hAnsi="Cambria"/>
          <w:sz w:val="24"/>
          <w:szCs w:val="24"/>
          <w:lang w:val="en-GB"/>
        </w:rPr>
        <w:t xml:space="preserve">linked </w:t>
      </w:r>
      <w:r w:rsidRPr="009E0F3B">
        <w:rPr>
          <w:rFonts w:ascii="Cambria" w:hAnsi="Cambria"/>
          <w:sz w:val="24"/>
          <w:szCs w:val="24"/>
          <w:lang w:val="en-GB"/>
        </w:rPr>
        <w:t>to be</w:t>
      </w:r>
      <w:r w:rsidR="005F2F4A" w:rsidRPr="009E0F3B">
        <w:rPr>
          <w:rFonts w:ascii="Cambria" w:hAnsi="Cambria"/>
          <w:sz w:val="24"/>
          <w:szCs w:val="24"/>
          <w:lang w:val="en-GB"/>
        </w:rPr>
        <w:t xml:space="preserve">ing disrespectful, </w:t>
      </w:r>
      <w:r w:rsidR="00F8285D" w:rsidRPr="009E0F3B">
        <w:rPr>
          <w:rFonts w:ascii="Cambria" w:hAnsi="Cambria"/>
          <w:sz w:val="24"/>
          <w:szCs w:val="24"/>
          <w:lang w:val="en-GB"/>
        </w:rPr>
        <w:t>unfair</w:t>
      </w:r>
      <w:r w:rsidR="005F2F4A" w:rsidRPr="009E0F3B">
        <w:rPr>
          <w:rFonts w:ascii="Cambria" w:hAnsi="Cambria"/>
          <w:sz w:val="24"/>
          <w:szCs w:val="24"/>
          <w:lang w:val="en-GB"/>
        </w:rPr>
        <w:t>, and condescending towards their students</w:t>
      </w:r>
      <w:r w:rsidRPr="009E0F3B">
        <w:rPr>
          <w:rFonts w:ascii="Cambria" w:hAnsi="Cambria"/>
          <w:sz w:val="24"/>
          <w:szCs w:val="24"/>
          <w:lang w:val="en-GB"/>
        </w:rPr>
        <w:t>.</w:t>
      </w:r>
    </w:p>
    <w:p w14:paraId="3FDD3905" w14:textId="6BAD19BC" w:rsidR="00D7543B" w:rsidRPr="009E0F3B" w:rsidRDefault="00D7543B" w:rsidP="00F20BAC">
      <w:pPr>
        <w:jc w:val="both"/>
        <w:rPr>
          <w:rFonts w:ascii="Cambria" w:hAnsi="Cambria"/>
          <w:sz w:val="24"/>
          <w:szCs w:val="24"/>
          <w:lang w:val="en-GB"/>
        </w:rPr>
      </w:pPr>
      <w:r w:rsidRPr="009E0F3B">
        <w:rPr>
          <w:rFonts w:ascii="Cambria" w:hAnsi="Cambria"/>
          <w:b/>
          <w:sz w:val="24"/>
          <w:szCs w:val="24"/>
          <w:lang w:val="en-GB"/>
        </w:rPr>
        <w:t>Key words</w:t>
      </w:r>
      <w:r w:rsidRPr="009E0F3B">
        <w:rPr>
          <w:rFonts w:ascii="Cambria" w:hAnsi="Cambria"/>
          <w:sz w:val="24"/>
          <w:szCs w:val="24"/>
          <w:lang w:val="en-GB"/>
        </w:rPr>
        <w:t>: teacher authority, teacher characteristics, questionnaire survey, university students in the Carpathian Basin</w:t>
      </w:r>
    </w:p>
    <w:p w14:paraId="24E13A0D" w14:textId="77777777" w:rsidR="00D7543B" w:rsidRPr="009E0F3B" w:rsidRDefault="00D7543B" w:rsidP="00F20BAC">
      <w:pPr>
        <w:jc w:val="both"/>
        <w:rPr>
          <w:rFonts w:ascii="Cambria" w:hAnsi="Cambria"/>
          <w:sz w:val="24"/>
          <w:szCs w:val="24"/>
          <w:lang w:val="en-GB"/>
        </w:rPr>
      </w:pPr>
    </w:p>
    <w:p w14:paraId="6F7CD844" w14:textId="77777777" w:rsidR="00D7543B" w:rsidRPr="009E0F3B" w:rsidRDefault="00D7543B" w:rsidP="00F20BAC">
      <w:pPr>
        <w:jc w:val="both"/>
        <w:rPr>
          <w:rFonts w:ascii="Cambria" w:hAnsi="Cambria"/>
          <w:b/>
          <w:sz w:val="24"/>
          <w:szCs w:val="24"/>
          <w:lang w:val="en-GB"/>
        </w:rPr>
      </w:pPr>
      <w:r w:rsidRPr="009E0F3B">
        <w:rPr>
          <w:rFonts w:ascii="Cambria" w:hAnsi="Cambria"/>
          <w:b/>
          <w:sz w:val="24"/>
          <w:szCs w:val="24"/>
          <w:lang w:val="en-GB"/>
        </w:rPr>
        <w:t>Introduction</w:t>
      </w:r>
    </w:p>
    <w:p w14:paraId="238196DA" w14:textId="7215410D" w:rsidR="00D7543B" w:rsidRPr="009E0F3B" w:rsidRDefault="00D7543B" w:rsidP="00F20BAC">
      <w:pPr>
        <w:jc w:val="both"/>
        <w:rPr>
          <w:rFonts w:ascii="Cambria" w:hAnsi="Cambria"/>
          <w:sz w:val="24"/>
          <w:szCs w:val="24"/>
          <w:lang w:val="en-GB"/>
        </w:rPr>
      </w:pPr>
      <w:r w:rsidRPr="009E0F3B">
        <w:rPr>
          <w:rFonts w:ascii="Cambria" w:hAnsi="Cambria"/>
          <w:sz w:val="24"/>
          <w:szCs w:val="24"/>
          <w:lang w:val="en-GB"/>
        </w:rPr>
        <w:t xml:space="preserve">Defining the ideal teacher can vary and alter in different geographical locations and time periods. A previous study </w:t>
      </w:r>
      <w:r w:rsidR="007463DA" w:rsidRPr="009E0F3B">
        <w:rPr>
          <w:rFonts w:ascii="Cambria" w:hAnsi="Cambria"/>
          <w:sz w:val="24"/>
          <w:szCs w:val="24"/>
          <w:lang w:val="en-GB"/>
        </w:rPr>
        <w:t>(</w:t>
      </w:r>
      <w:proofErr w:type="spellStart"/>
      <w:r w:rsidR="007463DA" w:rsidRPr="009E0F3B">
        <w:rPr>
          <w:rFonts w:ascii="Cambria" w:hAnsi="Cambria"/>
          <w:sz w:val="24"/>
          <w:szCs w:val="24"/>
          <w:lang w:val="en-GB"/>
        </w:rPr>
        <w:t>Žemlička</w:t>
      </w:r>
      <w:proofErr w:type="spellEnd"/>
      <w:r w:rsidR="007463DA" w:rsidRPr="009E0F3B">
        <w:rPr>
          <w:rFonts w:ascii="Cambria" w:hAnsi="Cambria"/>
          <w:sz w:val="24"/>
          <w:szCs w:val="24"/>
          <w:lang w:val="en-GB"/>
        </w:rPr>
        <w:t xml:space="preserve"> and </w:t>
      </w:r>
      <w:proofErr w:type="spellStart"/>
      <w:r w:rsidR="007463DA" w:rsidRPr="009E0F3B">
        <w:rPr>
          <w:rFonts w:ascii="Cambria" w:hAnsi="Cambria"/>
          <w:sz w:val="24"/>
          <w:szCs w:val="24"/>
          <w:lang w:val="en-GB"/>
        </w:rPr>
        <w:t>Szabó</w:t>
      </w:r>
      <w:proofErr w:type="spellEnd"/>
      <w:r w:rsidRPr="009E0F3B">
        <w:rPr>
          <w:rFonts w:ascii="Cambria" w:hAnsi="Cambria"/>
          <w:sz w:val="24"/>
          <w:szCs w:val="24"/>
          <w:lang w:val="en-GB"/>
        </w:rPr>
        <w:t xml:space="preserve"> L. 2024) sought to answer the question of what characteristics university students in the Carpathian B</w:t>
      </w:r>
      <w:r w:rsidR="000522CC" w:rsidRPr="009E0F3B">
        <w:rPr>
          <w:rFonts w:ascii="Cambria" w:hAnsi="Cambria"/>
          <w:sz w:val="24"/>
          <w:szCs w:val="24"/>
          <w:lang w:val="en-GB"/>
        </w:rPr>
        <w:t>asin think the ideal teacher possesses</w:t>
      </w:r>
      <w:r w:rsidRPr="009E0F3B">
        <w:rPr>
          <w:rFonts w:ascii="Cambria" w:hAnsi="Cambria"/>
          <w:sz w:val="24"/>
          <w:szCs w:val="24"/>
          <w:lang w:val="en-GB"/>
        </w:rPr>
        <w:t xml:space="preserve">. According to </w:t>
      </w:r>
      <w:r w:rsidR="000522CC" w:rsidRPr="009E0F3B">
        <w:rPr>
          <w:rFonts w:ascii="Cambria" w:hAnsi="Cambria"/>
          <w:sz w:val="24"/>
          <w:szCs w:val="24"/>
          <w:lang w:val="en-GB"/>
        </w:rPr>
        <w:t>the results</w:t>
      </w:r>
      <w:r w:rsidRPr="009E0F3B">
        <w:rPr>
          <w:rFonts w:ascii="Cambria" w:hAnsi="Cambria"/>
          <w:sz w:val="24"/>
          <w:szCs w:val="24"/>
          <w:lang w:val="en-GB"/>
        </w:rPr>
        <w:t xml:space="preserve"> (the five most frequent answers), the ideal </w:t>
      </w:r>
      <w:r w:rsidR="000522CC" w:rsidRPr="009E0F3B">
        <w:rPr>
          <w:rFonts w:ascii="Cambria" w:hAnsi="Cambria"/>
          <w:sz w:val="24"/>
          <w:szCs w:val="24"/>
          <w:lang w:val="en-GB"/>
        </w:rPr>
        <w:t>teacher is patien</w:t>
      </w:r>
      <w:r w:rsidR="003E1EE7" w:rsidRPr="009E0F3B">
        <w:rPr>
          <w:rFonts w:ascii="Cambria" w:hAnsi="Cambria"/>
          <w:sz w:val="24"/>
          <w:szCs w:val="24"/>
          <w:lang w:val="en-GB"/>
        </w:rPr>
        <w:t xml:space="preserve">t, helpful, kind, understanding and </w:t>
      </w:r>
      <w:r w:rsidRPr="009E0F3B">
        <w:rPr>
          <w:rFonts w:ascii="Cambria" w:hAnsi="Cambria"/>
          <w:sz w:val="24"/>
          <w:szCs w:val="24"/>
          <w:lang w:val="en-GB"/>
        </w:rPr>
        <w:t>prepared</w:t>
      </w:r>
      <w:r w:rsidR="003E1EE7" w:rsidRPr="009E0F3B">
        <w:rPr>
          <w:rFonts w:ascii="Cambria" w:hAnsi="Cambria"/>
          <w:sz w:val="24"/>
          <w:szCs w:val="24"/>
          <w:lang w:val="en-GB"/>
        </w:rPr>
        <w:t>,</w:t>
      </w:r>
      <w:r w:rsidRPr="009E0F3B">
        <w:rPr>
          <w:rFonts w:ascii="Cambria" w:hAnsi="Cambria"/>
          <w:sz w:val="24"/>
          <w:szCs w:val="24"/>
          <w:lang w:val="en-GB"/>
        </w:rPr>
        <w:t xml:space="preserve"> and compassionate. In the present study, we attempt to assess the opinions of university students studying Hungarian in t</w:t>
      </w:r>
      <w:r w:rsidR="003E1EE7" w:rsidRPr="009E0F3B">
        <w:rPr>
          <w:rFonts w:ascii="Cambria" w:hAnsi="Cambria"/>
          <w:sz w:val="24"/>
          <w:szCs w:val="24"/>
          <w:lang w:val="en-GB"/>
        </w:rPr>
        <w:t>he Carpathian Basin on what their perceptions of</w:t>
      </w:r>
      <w:r w:rsidRPr="009E0F3B">
        <w:rPr>
          <w:rFonts w:ascii="Cambria" w:hAnsi="Cambria"/>
          <w:sz w:val="24"/>
          <w:szCs w:val="24"/>
          <w:lang w:val="en-GB"/>
        </w:rPr>
        <w:t xml:space="preserve"> an authoritative teacher </w:t>
      </w:r>
      <w:r w:rsidR="003E1EE7" w:rsidRPr="009E0F3B">
        <w:rPr>
          <w:rFonts w:ascii="Cambria" w:hAnsi="Cambria"/>
          <w:sz w:val="24"/>
          <w:szCs w:val="24"/>
          <w:lang w:val="en-GB"/>
        </w:rPr>
        <w:t>are</w:t>
      </w:r>
      <w:r w:rsidRPr="009E0F3B">
        <w:rPr>
          <w:rFonts w:ascii="Cambria" w:hAnsi="Cambria"/>
          <w:sz w:val="24"/>
          <w:szCs w:val="24"/>
          <w:lang w:val="en-GB"/>
        </w:rPr>
        <w:t xml:space="preserve"> and </w:t>
      </w:r>
      <w:r w:rsidR="003E1EE7" w:rsidRPr="009E0F3B">
        <w:rPr>
          <w:rFonts w:ascii="Cambria" w:hAnsi="Cambria"/>
          <w:sz w:val="24"/>
          <w:szCs w:val="24"/>
          <w:lang w:val="en-GB"/>
        </w:rPr>
        <w:t xml:space="preserve">what may contribute to a teacher losing their authority. </w:t>
      </w:r>
    </w:p>
    <w:p w14:paraId="3D84DD45" w14:textId="77777777" w:rsidR="000522CC" w:rsidRPr="009E0F3B" w:rsidRDefault="000522CC" w:rsidP="00F20BAC">
      <w:pPr>
        <w:jc w:val="both"/>
        <w:rPr>
          <w:rFonts w:ascii="Cambria" w:hAnsi="Cambria"/>
          <w:sz w:val="24"/>
          <w:szCs w:val="24"/>
          <w:lang w:val="en-GB"/>
        </w:rPr>
      </w:pPr>
    </w:p>
    <w:p w14:paraId="2D298320" w14:textId="77777777" w:rsidR="000522CC" w:rsidRPr="009E0F3B" w:rsidRDefault="000522CC" w:rsidP="00F20BAC">
      <w:pPr>
        <w:jc w:val="both"/>
        <w:rPr>
          <w:rFonts w:ascii="Cambria" w:hAnsi="Cambria"/>
          <w:b/>
          <w:sz w:val="24"/>
          <w:szCs w:val="24"/>
          <w:lang w:val="en-GB"/>
        </w:rPr>
      </w:pPr>
      <w:r w:rsidRPr="009E0F3B">
        <w:rPr>
          <w:rFonts w:ascii="Cambria" w:hAnsi="Cambria"/>
          <w:b/>
          <w:sz w:val="24"/>
          <w:szCs w:val="24"/>
          <w:lang w:val="en-GB"/>
        </w:rPr>
        <w:t>1. Theoretical framework</w:t>
      </w:r>
    </w:p>
    <w:p w14:paraId="1DCD5D6C" w14:textId="77777777" w:rsidR="00874C49" w:rsidRPr="009E0F3B" w:rsidRDefault="00F06D53" w:rsidP="00874C49">
      <w:pPr>
        <w:jc w:val="both"/>
        <w:rPr>
          <w:rFonts w:ascii="Cambria" w:hAnsi="Cambria"/>
          <w:sz w:val="24"/>
          <w:szCs w:val="24"/>
          <w:lang w:val="en-GB"/>
        </w:rPr>
      </w:pPr>
      <w:r w:rsidRPr="009E0F3B">
        <w:rPr>
          <w:rFonts w:ascii="Cambria" w:hAnsi="Cambria"/>
          <w:sz w:val="24"/>
          <w:szCs w:val="24"/>
          <w:lang w:val="en-GB"/>
        </w:rPr>
        <w:t>There are several studies on the requirements and characteristics o</w:t>
      </w:r>
      <w:r w:rsidR="00826E32" w:rsidRPr="009E0F3B">
        <w:rPr>
          <w:rFonts w:ascii="Cambria" w:hAnsi="Cambria"/>
          <w:sz w:val="24"/>
          <w:szCs w:val="24"/>
          <w:lang w:val="en-GB"/>
        </w:rPr>
        <w:t>f the ideal teacher (</w:t>
      </w:r>
      <w:proofErr w:type="spellStart"/>
      <w:r w:rsidR="00826E32" w:rsidRPr="009E0F3B">
        <w:rPr>
          <w:rFonts w:ascii="Cambria" w:hAnsi="Cambria"/>
          <w:sz w:val="24"/>
          <w:szCs w:val="24"/>
          <w:lang w:val="en-GB"/>
        </w:rPr>
        <w:t>Szabó</w:t>
      </w:r>
      <w:proofErr w:type="spellEnd"/>
      <w:r w:rsidR="00826E32" w:rsidRPr="009E0F3B">
        <w:rPr>
          <w:rFonts w:ascii="Cambria" w:hAnsi="Cambria"/>
          <w:sz w:val="24"/>
          <w:szCs w:val="24"/>
          <w:lang w:val="en-GB"/>
        </w:rPr>
        <w:t xml:space="preserve"> et al.</w:t>
      </w:r>
      <w:r w:rsidRPr="009E0F3B">
        <w:rPr>
          <w:rFonts w:ascii="Cambria" w:hAnsi="Cambria"/>
          <w:sz w:val="24"/>
          <w:szCs w:val="24"/>
          <w:lang w:val="en-GB"/>
        </w:rPr>
        <w:t xml:space="preserve">, 2017; </w:t>
      </w:r>
      <w:proofErr w:type="spellStart"/>
      <w:r w:rsidRPr="009E0F3B">
        <w:rPr>
          <w:rFonts w:ascii="Cambria" w:hAnsi="Cambria"/>
          <w:sz w:val="24"/>
          <w:szCs w:val="24"/>
          <w:lang w:val="en-GB"/>
        </w:rPr>
        <w:t>Ballér</w:t>
      </w:r>
      <w:proofErr w:type="spellEnd"/>
      <w:r w:rsidRPr="009E0F3B">
        <w:rPr>
          <w:rFonts w:ascii="Cambria" w:hAnsi="Cambria"/>
          <w:sz w:val="24"/>
          <w:szCs w:val="24"/>
          <w:lang w:val="en-GB"/>
        </w:rPr>
        <w:t xml:space="preserve">, 1983; </w:t>
      </w:r>
      <w:proofErr w:type="spellStart"/>
      <w:r w:rsidRPr="009E0F3B">
        <w:rPr>
          <w:rFonts w:ascii="Cambria" w:hAnsi="Cambria"/>
          <w:sz w:val="24"/>
          <w:szCs w:val="24"/>
          <w:lang w:val="en-GB"/>
        </w:rPr>
        <w:t>Tóth</w:t>
      </w:r>
      <w:proofErr w:type="spellEnd"/>
      <w:r w:rsidRPr="009E0F3B">
        <w:rPr>
          <w:rFonts w:ascii="Cambria" w:hAnsi="Cambria"/>
          <w:sz w:val="24"/>
          <w:szCs w:val="24"/>
          <w:lang w:val="en-GB"/>
        </w:rPr>
        <w:t xml:space="preserve">, 1985; </w:t>
      </w:r>
      <w:proofErr w:type="spellStart"/>
      <w:r w:rsidRPr="009E0F3B">
        <w:rPr>
          <w:rFonts w:ascii="Cambria" w:hAnsi="Cambria"/>
          <w:sz w:val="24"/>
          <w:szCs w:val="24"/>
          <w:lang w:val="en-GB"/>
        </w:rPr>
        <w:t>Hajdú</w:t>
      </w:r>
      <w:proofErr w:type="spellEnd"/>
      <w:r w:rsidRPr="009E0F3B">
        <w:rPr>
          <w:rFonts w:ascii="Cambria" w:hAnsi="Cambria"/>
          <w:sz w:val="24"/>
          <w:szCs w:val="24"/>
          <w:lang w:val="en-GB"/>
        </w:rPr>
        <w:t xml:space="preserve">, 2001; Boreczky, 1997; G. </w:t>
      </w:r>
      <w:proofErr w:type="spellStart"/>
      <w:r w:rsidRPr="009E0F3B">
        <w:rPr>
          <w:rFonts w:ascii="Cambria" w:hAnsi="Cambria"/>
          <w:sz w:val="24"/>
          <w:szCs w:val="24"/>
          <w:lang w:val="en-GB"/>
        </w:rPr>
        <w:t>Donáth</w:t>
      </w:r>
      <w:proofErr w:type="spellEnd"/>
      <w:r w:rsidRPr="009E0F3B">
        <w:rPr>
          <w:rFonts w:ascii="Cambria" w:hAnsi="Cambria"/>
          <w:sz w:val="24"/>
          <w:szCs w:val="24"/>
          <w:lang w:val="en-GB"/>
        </w:rPr>
        <w:t xml:space="preserve">, 1980; </w:t>
      </w:r>
      <w:proofErr w:type="spellStart"/>
      <w:r w:rsidRPr="009E0F3B">
        <w:rPr>
          <w:rFonts w:ascii="Cambria" w:hAnsi="Cambria"/>
          <w:sz w:val="24"/>
          <w:szCs w:val="24"/>
          <w:lang w:val="en-GB"/>
        </w:rPr>
        <w:t>Bagdy</w:t>
      </w:r>
      <w:proofErr w:type="spellEnd"/>
      <w:r w:rsidRPr="009E0F3B">
        <w:rPr>
          <w:rFonts w:ascii="Cambria" w:hAnsi="Cambria"/>
          <w:sz w:val="24"/>
          <w:szCs w:val="24"/>
          <w:lang w:val="en-GB"/>
        </w:rPr>
        <w:t xml:space="preserve">, 1997; </w:t>
      </w:r>
      <w:proofErr w:type="spellStart"/>
      <w:r w:rsidRPr="009E0F3B">
        <w:rPr>
          <w:rFonts w:ascii="Cambria" w:hAnsi="Cambria"/>
          <w:sz w:val="24"/>
          <w:szCs w:val="24"/>
          <w:lang w:val="en-GB"/>
        </w:rPr>
        <w:t>Szebeni</w:t>
      </w:r>
      <w:proofErr w:type="spellEnd"/>
      <w:r w:rsidRPr="009E0F3B">
        <w:rPr>
          <w:rFonts w:ascii="Cambria" w:hAnsi="Cambria"/>
          <w:sz w:val="24"/>
          <w:szCs w:val="24"/>
          <w:lang w:val="en-GB"/>
        </w:rPr>
        <w:t>,</w:t>
      </w:r>
      <w:r w:rsidR="00826E32" w:rsidRPr="009E0F3B">
        <w:rPr>
          <w:rFonts w:ascii="Cambria" w:hAnsi="Cambria"/>
          <w:sz w:val="24"/>
          <w:szCs w:val="24"/>
          <w:lang w:val="en-GB"/>
        </w:rPr>
        <w:t xml:space="preserve"> </w:t>
      </w:r>
      <w:r w:rsidRPr="009E0F3B">
        <w:rPr>
          <w:rFonts w:ascii="Cambria" w:hAnsi="Cambria"/>
          <w:sz w:val="24"/>
          <w:szCs w:val="24"/>
          <w:lang w:val="en-GB"/>
        </w:rPr>
        <w:t>2010; Korthagen,</w:t>
      </w:r>
      <w:r w:rsidR="004B4F62" w:rsidRPr="009E0F3B">
        <w:rPr>
          <w:rFonts w:ascii="Cambria" w:hAnsi="Cambria"/>
          <w:sz w:val="24"/>
          <w:szCs w:val="24"/>
          <w:lang w:val="en-GB"/>
        </w:rPr>
        <w:t xml:space="preserve"> 2004). The results of a </w:t>
      </w:r>
      <w:r w:rsidRPr="009E0F3B">
        <w:rPr>
          <w:rFonts w:ascii="Cambria" w:hAnsi="Cambria"/>
          <w:sz w:val="24"/>
          <w:szCs w:val="24"/>
          <w:lang w:val="en-GB"/>
        </w:rPr>
        <w:t xml:space="preserve">study </w:t>
      </w:r>
      <w:r w:rsidR="004B4F62" w:rsidRPr="009E0F3B">
        <w:rPr>
          <w:rFonts w:ascii="Cambria" w:hAnsi="Cambria"/>
          <w:sz w:val="24"/>
          <w:szCs w:val="24"/>
          <w:lang w:val="en-GB"/>
        </w:rPr>
        <w:t>conducted with</w:t>
      </w:r>
      <w:r w:rsidRPr="009E0F3B">
        <w:rPr>
          <w:rFonts w:ascii="Cambria" w:hAnsi="Cambria"/>
          <w:sz w:val="24"/>
          <w:szCs w:val="24"/>
          <w:lang w:val="en-GB"/>
        </w:rPr>
        <w:t xml:space="preserve"> 10,000 German pupils in the 1930s </w:t>
      </w:r>
      <w:r w:rsidR="004B4F62" w:rsidRPr="009E0F3B">
        <w:rPr>
          <w:rFonts w:ascii="Cambria" w:hAnsi="Cambria"/>
          <w:sz w:val="24"/>
          <w:szCs w:val="24"/>
          <w:lang w:val="en-GB"/>
        </w:rPr>
        <w:t>show</w:t>
      </w:r>
      <w:r w:rsidRPr="009E0F3B">
        <w:rPr>
          <w:rFonts w:ascii="Cambria" w:hAnsi="Cambria"/>
          <w:sz w:val="24"/>
          <w:szCs w:val="24"/>
          <w:lang w:val="en-GB"/>
        </w:rPr>
        <w:t xml:space="preserve"> that the main characteristics of teachers</w:t>
      </w:r>
      <w:r w:rsidR="004B4F62" w:rsidRPr="009E0F3B">
        <w:rPr>
          <w:rFonts w:ascii="Cambria" w:hAnsi="Cambria"/>
          <w:sz w:val="24"/>
          <w:szCs w:val="24"/>
          <w:lang w:val="en-GB"/>
        </w:rPr>
        <w:t xml:space="preserve"> that</w:t>
      </w:r>
      <w:r w:rsidRPr="009E0F3B">
        <w:rPr>
          <w:rFonts w:ascii="Cambria" w:hAnsi="Cambria"/>
          <w:sz w:val="24"/>
          <w:szCs w:val="24"/>
          <w:lang w:val="en-GB"/>
        </w:rPr>
        <w:t xml:space="preserve"> </w:t>
      </w:r>
      <w:r w:rsidR="004B4F62" w:rsidRPr="009E0F3B">
        <w:rPr>
          <w:rFonts w:ascii="Cambria" w:hAnsi="Cambria"/>
          <w:sz w:val="24"/>
          <w:szCs w:val="24"/>
          <w:lang w:val="en-GB"/>
        </w:rPr>
        <w:t>pupils like the most</w:t>
      </w:r>
      <w:r w:rsidRPr="009E0F3B">
        <w:rPr>
          <w:rFonts w:ascii="Cambria" w:hAnsi="Cambria"/>
          <w:sz w:val="24"/>
          <w:szCs w:val="24"/>
          <w:lang w:val="en-GB"/>
        </w:rPr>
        <w:t xml:space="preserve"> are cheerfulness, patience, friendliness, understanding, </w:t>
      </w:r>
      <w:r w:rsidRPr="009E0F3B">
        <w:rPr>
          <w:rFonts w:ascii="Cambria" w:hAnsi="Cambria"/>
          <w:sz w:val="24"/>
          <w:szCs w:val="24"/>
          <w:lang w:val="en-GB"/>
        </w:rPr>
        <w:lastRenderedPageBreak/>
        <w:t xml:space="preserve">impartiality, </w:t>
      </w:r>
      <w:r w:rsidR="00874C49" w:rsidRPr="009E0F3B">
        <w:rPr>
          <w:rFonts w:ascii="Cambria" w:hAnsi="Cambria"/>
          <w:sz w:val="24"/>
          <w:szCs w:val="24"/>
          <w:lang w:val="en-GB"/>
        </w:rPr>
        <w:t>and fair grading (</w:t>
      </w:r>
      <w:proofErr w:type="spellStart"/>
      <w:r w:rsidR="00874C49" w:rsidRPr="009E0F3B">
        <w:rPr>
          <w:rFonts w:ascii="Cambria" w:hAnsi="Cambria"/>
          <w:sz w:val="24"/>
          <w:szCs w:val="24"/>
          <w:lang w:val="en-GB"/>
        </w:rPr>
        <w:t>Ballér</w:t>
      </w:r>
      <w:proofErr w:type="spellEnd"/>
      <w:r w:rsidR="00874C49" w:rsidRPr="009E0F3B">
        <w:rPr>
          <w:rFonts w:ascii="Cambria" w:hAnsi="Cambria"/>
          <w:sz w:val="24"/>
          <w:szCs w:val="24"/>
          <w:lang w:val="en-GB"/>
        </w:rPr>
        <w:t xml:space="preserve"> 1983). </w:t>
      </w:r>
      <w:r w:rsidRPr="009E0F3B">
        <w:rPr>
          <w:rFonts w:ascii="Cambria" w:hAnsi="Cambria"/>
          <w:sz w:val="24"/>
          <w:szCs w:val="24"/>
          <w:lang w:val="en-GB"/>
        </w:rPr>
        <w:t xml:space="preserve">According to </w:t>
      </w:r>
      <w:proofErr w:type="spellStart"/>
      <w:r w:rsidRPr="009E0F3B">
        <w:rPr>
          <w:rFonts w:ascii="Cambria" w:hAnsi="Cambria"/>
          <w:sz w:val="24"/>
          <w:szCs w:val="24"/>
          <w:lang w:val="en-GB"/>
        </w:rPr>
        <w:t>Tóth</w:t>
      </w:r>
      <w:proofErr w:type="spellEnd"/>
      <w:r w:rsidRPr="009E0F3B">
        <w:rPr>
          <w:rFonts w:ascii="Cambria" w:hAnsi="Cambria"/>
          <w:sz w:val="24"/>
          <w:szCs w:val="24"/>
          <w:lang w:val="en-GB"/>
        </w:rPr>
        <w:t xml:space="preserve"> (1985), in the mid-1980s, the most favoured teacher characteristics included love of children, helpfulness, kindness, fairness, as well as good teaching skills and a high level of expertise. In a later study in 1997, the most preferred teacher characteristics according to primary school pupils were understanding and patience, while those according to secondary school students were strictness, </w:t>
      </w:r>
      <w:proofErr w:type="gramStart"/>
      <w:r w:rsidRPr="009E0F3B">
        <w:rPr>
          <w:rFonts w:ascii="Cambria" w:hAnsi="Cambria"/>
          <w:sz w:val="24"/>
          <w:szCs w:val="24"/>
          <w:lang w:val="en-GB"/>
        </w:rPr>
        <w:t>fairness</w:t>
      </w:r>
      <w:proofErr w:type="gramEnd"/>
      <w:r w:rsidRPr="009E0F3B">
        <w:rPr>
          <w:rFonts w:ascii="Cambria" w:hAnsi="Cambria"/>
          <w:sz w:val="24"/>
          <w:szCs w:val="24"/>
          <w:lang w:val="en-GB"/>
        </w:rPr>
        <w:t xml:space="preserve"> and consistency (Boreczky, 1997). </w:t>
      </w:r>
      <w:r w:rsidR="00994EF6" w:rsidRPr="009E0F3B">
        <w:rPr>
          <w:rFonts w:ascii="Cambria" w:hAnsi="Cambria"/>
          <w:sz w:val="24"/>
          <w:szCs w:val="24"/>
          <w:lang w:val="en-GB"/>
        </w:rPr>
        <w:t xml:space="preserve"> Previous research indicates that the characteristics of an ideal teacher often present contradictions that would be unfeasible in practice; for instance, a teacher is expected to embody both understanding and consistency. A survey conducted among teacher training students in 1998 revealed that a good teacher is perceived as “</w:t>
      </w:r>
      <w:r w:rsidR="00994EF6" w:rsidRPr="009E0F3B">
        <w:rPr>
          <w:rFonts w:ascii="Cambria" w:hAnsi="Cambria"/>
          <w:i/>
          <w:sz w:val="24"/>
          <w:szCs w:val="24"/>
          <w:lang w:val="en-GB"/>
        </w:rPr>
        <w:t>friendly yet strict, demanding yet understanding, consistent, fair, impartial, direct, calm, patient, knowledgeable, authoritative, well-educated, and proficient in their subject matter</w:t>
      </w:r>
      <w:r w:rsidR="00994EF6" w:rsidRPr="009E0F3B">
        <w:rPr>
          <w:rFonts w:ascii="Cambria" w:hAnsi="Cambria"/>
          <w:sz w:val="24"/>
          <w:szCs w:val="24"/>
          <w:lang w:val="en-GB"/>
        </w:rPr>
        <w:t>” (</w:t>
      </w:r>
      <w:proofErr w:type="spellStart"/>
      <w:r w:rsidR="00994EF6" w:rsidRPr="009E0F3B">
        <w:rPr>
          <w:rFonts w:ascii="Cambria" w:hAnsi="Cambria"/>
          <w:sz w:val="24"/>
          <w:szCs w:val="24"/>
          <w:lang w:val="en-GB"/>
        </w:rPr>
        <w:t>Hajdú</w:t>
      </w:r>
      <w:proofErr w:type="spellEnd"/>
      <w:r w:rsidR="00994EF6" w:rsidRPr="009E0F3B">
        <w:rPr>
          <w:rFonts w:ascii="Cambria" w:hAnsi="Cambria"/>
          <w:sz w:val="24"/>
          <w:szCs w:val="24"/>
          <w:lang w:val="en-GB"/>
        </w:rPr>
        <w:t xml:space="preserve"> 2001:30). </w:t>
      </w:r>
    </w:p>
    <w:p w14:paraId="62526C94" w14:textId="04467399" w:rsidR="00994EF6" w:rsidRPr="009E0F3B" w:rsidRDefault="00994EF6" w:rsidP="00874C49">
      <w:pPr>
        <w:ind w:firstLine="708"/>
        <w:jc w:val="both"/>
        <w:rPr>
          <w:rFonts w:ascii="Cambria" w:hAnsi="Cambria"/>
          <w:sz w:val="24"/>
          <w:szCs w:val="24"/>
          <w:lang w:val="en-GB"/>
        </w:rPr>
      </w:pPr>
      <w:r w:rsidRPr="009E0F3B">
        <w:rPr>
          <w:rFonts w:ascii="Cambria" w:hAnsi="Cambria"/>
          <w:sz w:val="24"/>
          <w:szCs w:val="24"/>
          <w:lang w:val="en-GB"/>
        </w:rPr>
        <w:t xml:space="preserve">Boreczky (1997), in </w:t>
      </w:r>
      <w:r w:rsidR="003F5CA2" w:rsidRPr="009E0F3B">
        <w:rPr>
          <w:rFonts w:ascii="Cambria" w:hAnsi="Cambria"/>
          <w:sz w:val="24"/>
          <w:szCs w:val="24"/>
          <w:lang w:val="en-GB"/>
        </w:rPr>
        <w:t xml:space="preserve">his </w:t>
      </w:r>
      <w:r w:rsidRPr="009E0F3B">
        <w:rPr>
          <w:rFonts w:ascii="Cambria" w:hAnsi="Cambria"/>
          <w:sz w:val="24"/>
          <w:szCs w:val="24"/>
          <w:lang w:val="en-GB"/>
        </w:rPr>
        <w:t>research conducted during the 1990s, differentiated</w:t>
      </w:r>
      <w:r w:rsidR="00BB7FAC" w:rsidRPr="009E0F3B">
        <w:rPr>
          <w:rFonts w:ascii="Cambria" w:hAnsi="Cambria"/>
          <w:sz w:val="24"/>
          <w:szCs w:val="24"/>
          <w:lang w:val="en-GB"/>
        </w:rPr>
        <w:t xml:space="preserve"> between two types of educators and linked each </w:t>
      </w:r>
      <w:r w:rsidRPr="009E0F3B">
        <w:rPr>
          <w:rFonts w:ascii="Cambria" w:hAnsi="Cambria"/>
          <w:sz w:val="24"/>
          <w:szCs w:val="24"/>
          <w:lang w:val="en-GB"/>
        </w:rPr>
        <w:t xml:space="preserve">to </w:t>
      </w:r>
      <w:proofErr w:type="gramStart"/>
      <w:r w:rsidRPr="009E0F3B">
        <w:rPr>
          <w:rFonts w:ascii="Cambria" w:hAnsi="Cambria"/>
          <w:sz w:val="24"/>
          <w:szCs w:val="24"/>
          <w:lang w:val="en-GB"/>
        </w:rPr>
        <w:t>particular personality</w:t>
      </w:r>
      <w:proofErr w:type="gramEnd"/>
      <w:r w:rsidRPr="009E0F3B">
        <w:rPr>
          <w:rFonts w:ascii="Cambria" w:hAnsi="Cambria"/>
          <w:sz w:val="24"/>
          <w:szCs w:val="24"/>
          <w:lang w:val="en-GB"/>
        </w:rPr>
        <w:t xml:space="preserve"> characteristics. The first type </w:t>
      </w:r>
      <w:r w:rsidR="00BB7FAC" w:rsidRPr="009E0F3B">
        <w:rPr>
          <w:rFonts w:ascii="Cambria" w:hAnsi="Cambria"/>
          <w:sz w:val="24"/>
          <w:szCs w:val="24"/>
          <w:lang w:val="en-GB"/>
        </w:rPr>
        <w:t>was defined</w:t>
      </w:r>
      <w:r w:rsidRPr="009E0F3B">
        <w:rPr>
          <w:rFonts w:ascii="Cambria" w:hAnsi="Cambria"/>
          <w:sz w:val="24"/>
          <w:szCs w:val="24"/>
          <w:lang w:val="en-GB"/>
        </w:rPr>
        <w:t xml:space="preserve"> by authority, positional influence, firmness, fairness, emotional detachment, and strict discipline. In contrast, the second type </w:t>
      </w:r>
      <w:r w:rsidR="00BB7FAC" w:rsidRPr="009E0F3B">
        <w:rPr>
          <w:rFonts w:ascii="Cambria" w:hAnsi="Cambria"/>
          <w:sz w:val="24"/>
          <w:szCs w:val="24"/>
          <w:lang w:val="en-GB"/>
        </w:rPr>
        <w:t>was</w:t>
      </w:r>
      <w:r w:rsidRPr="009E0F3B">
        <w:rPr>
          <w:rFonts w:ascii="Cambria" w:hAnsi="Cambria"/>
          <w:sz w:val="24"/>
          <w:szCs w:val="24"/>
          <w:lang w:val="en-GB"/>
        </w:rPr>
        <w:t xml:space="preserve"> characterized by kindness, patience, and an emphasis on </w:t>
      </w:r>
      <w:r w:rsidR="00BB7FAC" w:rsidRPr="009E0F3B">
        <w:rPr>
          <w:rFonts w:ascii="Cambria" w:hAnsi="Cambria"/>
          <w:sz w:val="24"/>
          <w:szCs w:val="24"/>
          <w:lang w:val="en-GB"/>
        </w:rPr>
        <w:t xml:space="preserve">developing </w:t>
      </w:r>
      <w:r w:rsidRPr="009E0F3B">
        <w:rPr>
          <w:rFonts w:ascii="Cambria" w:hAnsi="Cambria"/>
          <w:sz w:val="24"/>
          <w:szCs w:val="24"/>
          <w:lang w:val="en-GB"/>
        </w:rPr>
        <w:t xml:space="preserve">personal connections. Furthermore, G. </w:t>
      </w:r>
      <w:proofErr w:type="spellStart"/>
      <w:r w:rsidRPr="009E0F3B">
        <w:rPr>
          <w:rFonts w:ascii="Cambria" w:hAnsi="Cambria"/>
          <w:sz w:val="24"/>
          <w:szCs w:val="24"/>
          <w:lang w:val="en-GB"/>
        </w:rPr>
        <w:t>Donáth</w:t>
      </w:r>
      <w:proofErr w:type="spellEnd"/>
      <w:r w:rsidRPr="009E0F3B">
        <w:rPr>
          <w:rFonts w:ascii="Cambria" w:hAnsi="Cambria"/>
          <w:sz w:val="24"/>
          <w:szCs w:val="24"/>
          <w:lang w:val="en-GB"/>
        </w:rPr>
        <w:t xml:space="preserve"> (1980) </w:t>
      </w:r>
      <w:r w:rsidR="003F5CA2" w:rsidRPr="009E0F3B">
        <w:rPr>
          <w:rFonts w:ascii="Cambria" w:hAnsi="Cambria"/>
          <w:sz w:val="24"/>
          <w:szCs w:val="24"/>
          <w:lang w:val="en-GB"/>
        </w:rPr>
        <w:t>involved</w:t>
      </w:r>
      <w:r w:rsidRPr="009E0F3B">
        <w:rPr>
          <w:rFonts w:ascii="Cambria" w:hAnsi="Cambria"/>
          <w:sz w:val="24"/>
          <w:szCs w:val="24"/>
          <w:lang w:val="en-GB"/>
        </w:rPr>
        <w:t xml:space="preserve"> students of different age groups to </w:t>
      </w:r>
      <w:r w:rsidR="003F5CA2" w:rsidRPr="009E0F3B">
        <w:rPr>
          <w:rFonts w:ascii="Cambria" w:hAnsi="Cambria"/>
          <w:sz w:val="24"/>
          <w:szCs w:val="24"/>
          <w:lang w:val="en-GB"/>
        </w:rPr>
        <w:t>investigate their standpoints towards the traits of an ideal teacher. His findings revealed e</w:t>
      </w:r>
      <w:r w:rsidRPr="009E0F3B">
        <w:rPr>
          <w:rFonts w:ascii="Cambria" w:hAnsi="Cambria"/>
          <w:sz w:val="24"/>
          <w:szCs w:val="24"/>
          <w:lang w:val="en-GB"/>
        </w:rPr>
        <w:t>xtensive professional knowledge, a genuine concern for children, empathy, and a sense of humour</w:t>
      </w:r>
      <w:r w:rsidR="003F5CA2" w:rsidRPr="009E0F3B">
        <w:rPr>
          <w:rFonts w:ascii="Cambria" w:hAnsi="Cambria"/>
          <w:sz w:val="24"/>
          <w:szCs w:val="24"/>
          <w:lang w:val="en-GB"/>
        </w:rPr>
        <w:t xml:space="preserve"> as the most important traits</w:t>
      </w:r>
      <w:r w:rsidRPr="009E0F3B">
        <w:rPr>
          <w:rFonts w:ascii="Cambria" w:hAnsi="Cambria"/>
          <w:sz w:val="24"/>
          <w:szCs w:val="24"/>
          <w:lang w:val="en-GB"/>
        </w:rPr>
        <w:t>.</w:t>
      </w:r>
      <w:r w:rsidR="00A62560" w:rsidRPr="009E0F3B">
        <w:rPr>
          <w:rFonts w:ascii="Cambria" w:hAnsi="Cambria"/>
          <w:sz w:val="24"/>
          <w:szCs w:val="24"/>
          <w:lang w:val="en-GB"/>
        </w:rPr>
        <w:t xml:space="preserve"> </w:t>
      </w:r>
      <w:r w:rsidR="003F5CA2" w:rsidRPr="009E0F3B">
        <w:rPr>
          <w:rFonts w:ascii="Cambria" w:hAnsi="Cambria"/>
          <w:sz w:val="24"/>
          <w:szCs w:val="24"/>
          <w:lang w:val="en-GB"/>
        </w:rPr>
        <w:t>Based on these, w</w:t>
      </w:r>
      <w:r w:rsidR="004B4F62" w:rsidRPr="009E0F3B">
        <w:rPr>
          <w:rFonts w:ascii="Cambria" w:hAnsi="Cambria"/>
          <w:sz w:val="24"/>
          <w:szCs w:val="24"/>
          <w:lang w:val="en-GB"/>
        </w:rPr>
        <w:t>e can see</w:t>
      </w:r>
      <w:r w:rsidRPr="009E0F3B">
        <w:rPr>
          <w:rFonts w:ascii="Cambria" w:hAnsi="Cambria"/>
          <w:sz w:val="24"/>
          <w:szCs w:val="24"/>
          <w:lang w:val="en-GB"/>
        </w:rPr>
        <w:t xml:space="preserve"> that the criteria for an ideal teacher </w:t>
      </w:r>
      <w:r w:rsidR="000A6991" w:rsidRPr="009E0F3B">
        <w:rPr>
          <w:rFonts w:ascii="Cambria" w:hAnsi="Cambria"/>
          <w:sz w:val="24"/>
          <w:szCs w:val="24"/>
          <w:lang w:val="en-GB"/>
        </w:rPr>
        <w:t>vary</w:t>
      </w:r>
      <w:r w:rsidRPr="009E0F3B">
        <w:rPr>
          <w:rFonts w:ascii="Cambria" w:hAnsi="Cambria"/>
          <w:sz w:val="24"/>
          <w:szCs w:val="24"/>
          <w:lang w:val="en-GB"/>
        </w:rPr>
        <w:t xml:space="preserve"> </w:t>
      </w:r>
      <w:r w:rsidR="004B4F62" w:rsidRPr="009E0F3B">
        <w:rPr>
          <w:rFonts w:ascii="Cambria" w:hAnsi="Cambria"/>
          <w:sz w:val="24"/>
          <w:szCs w:val="24"/>
          <w:lang w:val="en-GB"/>
        </w:rPr>
        <w:t xml:space="preserve">through different </w:t>
      </w:r>
      <w:r w:rsidRPr="009E0F3B">
        <w:rPr>
          <w:rFonts w:ascii="Cambria" w:hAnsi="Cambria"/>
          <w:sz w:val="24"/>
          <w:szCs w:val="24"/>
          <w:lang w:val="en-GB"/>
        </w:rPr>
        <w:t>age groups and developmental stages</w:t>
      </w:r>
      <w:r w:rsidR="000A6991" w:rsidRPr="009E0F3B">
        <w:rPr>
          <w:rFonts w:ascii="Cambria" w:hAnsi="Cambria"/>
          <w:sz w:val="24"/>
          <w:szCs w:val="24"/>
          <w:lang w:val="en-GB"/>
        </w:rPr>
        <w:t xml:space="preserve"> of humans</w:t>
      </w:r>
      <w:r w:rsidRPr="009E0F3B">
        <w:rPr>
          <w:rFonts w:ascii="Cambria" w:hAnsi="Cambria"/>
          <w:sz w:val="24"/>
          <w:szCs w:val="24"/>
          <w:lang w:val="en-GB"/>
        </w:rPr>
        <w:t xml:space="preserve">. </w:t>
      </w:r>
      <w:r w:rsidR="00A62560" w:rsidRPr="009E0F3B">
        <w:rPr>
          <w:rFonts w:ascii="Cambria" w:hAnsi="Cambria"/>
          <w:sz w:val="24"/>
          <w:szCs w:val="24"/>
          <w:lang w:val="en-GB"/>
        </w:rPr>
        <w:t>Moreover, t</w:t>
      </w:r>
      <w:r w:rsidRPr="009E0F3B">
        <w:rPr>
          <w:rFonts w:ascii="Cambria" w:hAnsi="Cambria"/>
          <w:sz w:val="24"/>
          <w:szCs w:val="24"/>
          <w:lang w:val="en-GB"/>
        </w:rPr>
        <w:t>he expectations</w:t>
      </w:r>
      <w:r w:rsidR="000A6991" w:rsidRPr="009E0F3B">
        <w:rPr>
          <w:rFonts w:ascii="Cambria" w:hAnsi="Cambria"/>
          <w:sz w:val="24"/>
          <w:szCs w:val="24"/>
          <w:lang w:val="en-GB"/>
        </w:rPr>
        <w:t xml:space="preserve"> towards</w:t>
      </w:r>
      <w:r w:rsidR="00A62560" w:rsidRPr="009E0F3B">
        <w:rPr>
          <w:rFonts w:ascii="Cambria" w:hAnsi="Cambria"/>
          <w:sz w:val="24"/>
          <w:szCs w:val="24"/>
          <w:lang w:val="en-GB"/>
        </w:rPr>
        <w:t xml:space="preserve"> teachers</w:t>
      </w:r>
      <w:r w:rsidR="000A6991" w:rsidRPr="009E0F3B">
        <w:rPr>
          <w:rFonts w:ascii="Cambria" w:hAnsi="Cambria"/>
          <w:sz w:val="24"/>
          <w:szCs w:val="24"/>
          <w:lang w:val="en-GB"/>
        </w:rPr>
        <w:t xml:space="preserve"> can vary depending on whether it is teachers, students, or parents that have them</w:t>
      </w:r>
      <w:r w:rsidRPr="009E0F3B">
        <w:rPr>
          <w:rFonts w:ascii="Cambria" w:hAnsi="Cambria"/>
          <w:sz w:val="24"/>
          <w:szCs w:val="24"/>
          <w:lang w:val="en-GB"/>
        </w:rPr>
        <w:t xml:space="preserve">. </w:t>
      </w:r>
      <w:r w:rsidR="00A62560" w:rsidRPr="009E0F3B">
        <w:rPr>
          <w:rFonts w:ascii="Cambria" w:hAnsi="Cambria"/>
          <w:sz w:val="24"/>
          <w:szCs w:val="24"/>
          <w:lang w:val="en-GB"/>
        </w:rPr>
        <w:t>Nevertheless</w:t>
      </w:r>
      <w:r w:rsidRPr="009E0F3B">
        <w:rPr>
          <w:rFonts w:ascii="Cambria" w:hAnsi="Cambria"/>
          <w:sz w:val="24"/>
          <w:szCs w:val="24"/>
          <w:lang w:val="en-GB"/>
        </w:rPr>
        <w:t xml:space="preserve">, the </w:t>
      </w:r>
      <w:r w:rsidR="000A6991" w:rsidRPr="009E0F3B">
        <w:rPr>
          <w:rFonts w:ascii="Cambria" w:hAnsi="Cambria"/>
          <w:sz w:val="24"/>
          <w:szCs w:val="24"/>
          <w:lang w:val="en-GB"/>
        </w:rPr>
        <w:t>fundamental</w:t>
      </w:r>
      <w:r w:rsidRPr="009E0F3B">
        <w:rPr>
          <w:rFonts w:ascii="Cambria" w:hAnsi="Cambria"/>
          <w:sz w:val="24"/>
          <w:szCs w:val="24"/>
          <w:lang w:val="en-GB"/>
        </w:rPr>
        <w:t xml:space="preserve"> similarities among these diverse viewpoints can be </w:t>
      </w:r>
      <w:r w:rsidR="000A6991" w:rsidRPr="009E0F3B">
        <w:rPr>
          <w:rFonts w:ascii="Cambria" w:hAnsi="Cambria"/>
          <w:sz w:val="24"/>
          <w:szCs w:val="24"/>
          <w:lang w:val="en-GB"/>
        </w:rPr>
        <w:t>summarized</w:t>
      </w:r>
      <w:r w:rsidRPr="009E0F3B">
        <w:rPr>
          <w:rFonts w:ascii="Cambria" w:hAnsi="Cambria"/>
          <w:sz w:val="24"/>
          <w:szCs w:val="24"/>
          <w:lang w:val="en-GB"/>
        </w:rPr>
        <w:t xml:space="preserve"> in</w:t>
      </w:r>
      <w:r w:rsidR="003F5CA2" w:rsidRPr="009E0F3B">
        <w:rPr>
          <w:rFonts w:ascii="Cambria" w:hAnsi="Cambria"/>
          <w:sz w:val="24"/>
          <w:szCs w:val="24"/>
          <w:lang w:val="en-GB"/>
        </w:rPr>
        <w:t>to</w:t>
      </w:r>
      <w:r w:rsidRPr="009E0F3B">
        <w:rPr>
          <w:rFonts w:ascii="Cambria" w:hAnsi="Cambria"/>
          <w:sz w:val="24"/>
          <w:szCs w:val="24"/>
          <w:lang w:val="en-GB"/>
        </w:rPr>
        <w:t xml:space="preserve"> three </w:t>
      </w:r>
      <w:r w:rsidR="000A6991" w:rsidRPr="009E0F3B">
        <w:rPr>
          <w:rFonts w:ascii="Cambria" w:hAnsi="Cambria"/>
          <w:sz w:val="24"/>
          <w:szCs w:val="24"/>
          <w:lang w:val="en-GB"/>
        </w:rPr>
        <w:t xml:space="preserve">main dimensions: </w:t>
      </w:r>
      <w:r w:rsidRPr="009E0F3B">
        <w:rPr>
          <w:rFonts w:ascii="Cambria" w:hAnsi="Cambria"/>
          <w:sz w:val="24"/>
          <w:szCs w:val="24"/>
          <w:lang w:val="en-GB"/>
        </w:rPr>
        <w:t>personality traits,</w:t>
      </w:r>
      <w:r w:rsidR="007313FF" w:rsidRPr="009E0F3B">
        <w:rPr>
          <w:rFonts w:ascii="Cambria" w:hAnsi="Cambria"/>
          <w:sz w:val="24"/>
          <w:szCs w:val="24"/>
          <w:lang w:val="en-GB"/>
        </w:rPr>
        <w:t xml:space="preserve"> </w:t>
      </w:r>
      <w:r w:rsidRPr="009E0F3B">
        <w:rPr>
          <w:rFonts w:ascii="Cambria" w:hAnsi="Cambria"/>
          <w:sz w:val="24"/>
          <w:szCs w:val="24"/>
          <w:lang w:val="en-GB"/>
        </w:rPr>
        <w:t xml:space="preserve">intellectual </w:t>
      </w:r>
      <w:r w:rsidR="007313FF" w:rsidRPr="009E0F3B">
        <w:rPr>
          <w:rFonts w:ascii="Cambria" w:hAnsi="Cambria"/>
          <w:sz w:val="24"/>
          <w:szCs w:val="24"/>
          <w:lang w:val="en-GB"/>
        </w:rPr>
        <w:t>behaviour</w:t>
      </w:r>
      <w:r w:rsidRPr="009E0F3B">
        <w:rPr>
          <w:rFonts w:ascii="Cambria" w:hAnsi="Cambria"/>
          <w:sz w:val="24"/>
          <w:szCs w:val="24"/>
          <w:lang w:val="en-GB"/>
        </w:rPr>
        <w:t xml:space="preserve"> (</w:t>
      </w:r>
      <w:r w:rsidR="000A6991" w:rsidRPr="009E0F3B">
        <w:rPr>
          <w:rFonts w:ascii="Cambria" w:hAnsi="Cambria"/>
          <w:sz w:val="24"/>
          <w:szCs w:val="24"/>
          <w:lang w:val="en-GB"/>
        </w:rPr>
        <w:t>involving</w:t>
      </w:r>
      <w:r w:rsidRPr="009E0F3B">
        <w:rPr>
          <w:rFonts w:ascii="Cambria" w:hAnsi="Cambria"/>
          <w:sz w:val="24"/>
          <w:szCs w:val="24"/>
          <w:lang w:val="en-GB"/>
        </w:rPr>
        <w:t xml:space="preserve"> subject knowledge and communication skills), and teaching methods and </w:t>
      </w:r>
      <w:r w:rsidR="00DB4E70" w:rsidRPr="009E0F3B">
        <w:rPr>
          <w:rFonts w:ascii="Cambria" w:hAnsi="Cambria"/>
          <w:sz w:val="24"/>
          <w:szCs w:val="24"/>
          <w:lang w:val="en-GB"/>
        </w:rPr>
        <w:t>skills</w:t>
      </w:r>
      <w:r w:rsidR="000A6991" w:rsidRPr="009E0F3B">
        <w:rPr>
          <w:rFonts w:ascii="Cambria" w:hAnsi="Cambria"/>
          <w:sz w:val="24"/>
          <w:szCs w:val="24"/>
          <w:lang w:val="en-GB"/>
        </w:rPr>
        <w:t xml:space="preserve"> (</w:t>
      </w:r>
      <w:proofErr w:type="spellStart"/>
      <w:r w:rsidR="000A6991" w:rsidRPr="009E0F3B">
        <w:rPr>
          <w:rFonts w:ascii="Cambria" w:hAnsi="Cambria"/>
          <w:sz w:val="24"/>
          <w:szCs w:val="24"/>
          <w:lang w:val="en-GB"/>
        </w:rPr>
        <w:t>Hamachek</w:t>
      </w:r>
      <w:proofErr w:type="spellEnd"/>
      <w:r w:rsidR="000A6991" w:rsidRPr="009E0F3B">
        <w:rPr>
          <w:rFonts w:ascii="Cambria" w:hAnsi="Cambria"/>
          <w:sz w:val="24"/>
          <w:szCs w:val="24"/>
          <w:lang w:val="en-GB"/>
        </w:rPr>
        <w:t xml:space="preserve">, 1990; Szabo, 1999). </w:t>
      </w:r>
    </w:p>
    <w:p w14:paraId="0F1C6613" w14:textId="77777777" w:rsidR="003E41E2" w:rsidRPr="009E0F3B" w:rsidRDefault="00994EF6" w:rsidP="003868A7">
      <w:pPr>
        <w:ind w:firstLine="708"/>
        <w:jc w:val="both"/>
        <w:rPr>
          <w:rFonts w:ascii="Cambria" w:hAnsi="Cambria"/>
          <w:sz w:val="24"/>
          <w:szCs w:val="24"/>
          <w:lang w:val="en-GB"/>
        </w:rPr>
      </w:pPr>
      <w:r w:rsidRPr="009E0F3B">
        <w:rPr>
          <w:rFonts w:ascii="Cambria" w:hAnsi="Cambria"/>
          <w:sz w:val="24"/>
          <w:szCs w:val="24"/>
          <w:lang w:val="en-GB"/>
        </w:rPr>
        <w:t xml:space="preserve">Personality traits refer to the individual characteristics that influence </w:t>
      </w:r>
      <w:r w:rsidR="00DB4E70" w:rsidRPr="009E0F3B">
        <w:rPr>
          <w:rFonts w:ascii="Cambria" w:hAnsi="Cambria"/>
          <w:sz w:val="24"/>
          <w:szCs w:val="24"/>
          <w:lang w:val="en-GB"/>
        </w:rPr>
        <w:t>behaviour</w:t>
      </w:r>
      <w:r w:rsidRPr="009E0F3B">
        <w:rPr>
          <w:rFonts w:ascii="Cambria" w:hAnsi="Cambria"/>
          <w:sz w:val="24"/>
          <w:szCs w:val="24"/>
          <w:lang w:val="en-GB"/>
        </w:rPr>
        <w:t>, emotions, and thoughts in various contexts. These traits are generally stable over time and shape our reactions to different circumstances, including qualities such as empathy and patience. The intellectual di</w:t>
      </w:r>
      <w:r w:rsidR="00DB4E70" w:rsidRPr="009E0F3B">
        <w:rPr>
          <w:rFonts w:ascii="Cambria" w:hAnsi="Cambria"/>
          <w:sz w:val="24"/>
          <w:szCs w:val="24"/>
          <w:lang w:val="en-GB"/>
        </w:rPr>
        <w:t xml:space="preserve">mension </w:t>
      </w:r>
      <w:r w:rsidR="003868A7" w:rsidRPr="009E0F3B">
        <w:rPr>
          <w:rFonts w:ascii="Cambria" w:hAnsi="Cambria"/>
          <w:sz w:val="24"/>
          <w:szCs w:val="24"/>
          <w:lang w:val="en-GB"/>
        </w:rPr>
        <w:t>relates</w:t>
      </w:r>
      <w:r w:rsidR="00DB4E70" w:rsidRPr="009E0F3B">
        <w:rPr>
          <w:rFonts w:ascii="Cambria" w:hAnsi="Cambria"/>
          <w:sz w:val="24"/>
          <w:szCs w:val="24"/>
          <w:lang w:val="en-GB"/>
        </w:rPr>
        <w:t xml:space="preserve"> to the teacher’</w:t>
      </w:r>
      <w:r w:rsidRPr="009E0F3B">
        <w:rPr>
          <w:rFonts w:ascii="Cambria" w:hAnsi="Cambria"/>
          <w:sz w:val="24"/>
          <w:szCs w:val="24"/>
          <w:lang w:val="en-GB"/>
        </w:rPr>
        <w:t>s expertise in the subject matter being taught. Lastly, the dimension of teac</w:t>
      </w:r>
      <w:r w:rsidR="00DB4E70" w:rsidRPr="009E0F3B">
        <w:rPr>
          <w:rFonts w:ascii="Cambria" w:hAnsi="Cambria"/>
          <w:sz w:val="24"/>
          <w:szCs w:val="24"/>
          <w:lang w:val="en-GB"/>
        </w:rPr>
        <w:t>hing methods and skills address aspects such as the teacher’</w:t>
      </w:r>
      <w:r w:rsidRPr="009E0F3B">
        <w:rPr>
          <w:rFonts w:ascii="Cambria" w:hAnsi="Cambria"/>
          <w:sz w:val="24"/>
          <w:szCs w:val="24"/>
          <w:lang w:val="en-GB"/>
        </w:rPr>
        <w:t xml:space="preserve">s ability to explain concepts effectively or deliver engaging lectures (N. </w:t>
      </w:r>
      <w:proofErr w:type="spellStart"/>
      <w:r w:rsidRPr="009E0F3B">
        <w:rPr>
          <w:rFonts w:ascii="Cambria" w:hAnsi="Cambria"/>
          <w:sz w:val="24"/>
          <w:szCs w:val="24"/>
          <w:lang w:val="en-GB"/>
        </w:rPr>
        <w:t>Kollá</w:t>
      </w:r>
      <w:r w:rsidR="00DB4E70" w:rsidRPr="009E0F3B">
        <w:rPr>
          <w:rFonts w:ascii="Cambria" w:hAnsi="Cambria"/>
          <w:sz w:val="24"/>
          <w:szCs w:val="24"/>
          <w:lang w:val="en-GB"/>
        </w:rPr>
        <w:t>r</w:t>
      </w:r>
      <w:proofErr w:type="spellEnd"/>
      <w:r w:rsidR="00DB4E70" w:rsidRPr="009E0F3B">
        <w:rPr>
          <w:rFonts w:ascii="Cambria" w:hAnsi="Cambria"/>
          <w:sz w:val="24"/>
          <w:szCs w:val="24"/>
          <w:lang w:val="en-GB"/>
        </w:rPr>
        <w:t xml:space="preserve"> and </w:t>
      </w:r>
      <w:proofErr w:type="spellStart"/>
      <w:r w:rsidRPr="009E0F3B">
        <w:rPr>
          <w:rFonts w:ascii="Cambria" w:hAnsi="Cambria"/>
          <w:sz w:val="24"/>
          <w:szCs w:val="24"/>
          <w:lang w:val="en-GB"/>
        </w:rPr>
        <w:t>Szabó</w:t>
      </w:r>
      <w:proofErr w:type="spellEnd"/>
      <w:r w:rsidR="00DB4E70" w:rsidRPr="009E0F3B">
        <w:rPr>
          <w:rFonts w:ascii="Cambria" w:hAnsi="Cambria"/>
          <w:sz w:val="24"/>
          <w:szCs w:val="24"/>
          <w:lang w:val="en-GB"/>
        </w:rPr>
        <w:t>,</w:t>
      </w:r>
      <w:r w:rsidRPr="009E0F3B">
        <w:rPr>
          <w:rFonts w:ascii="Cambria" w:hAnsi="Cambria"/>
          <w:sz w:val="24"/>
          <w:szCs w:val="24"/>
          <w:lang w:val="en-GB"/>
        </w:rPr>
        <w:t xml:space="preserve"> 2004).</w:t>
      </w:r>
      <w:r w:rsidR="003868A7" w:rsidRPr="009E0F3B">
        <w:rPr>
          <w:rFonts w:ascii="Cambria" w:hAnsi="Cambria"/>
          <w:sz w:val="24"/>
          <w:szCs w:val="24"/>
          <w:lang w:val="en-GB"/>
        </w:rPr>
        <w:t xml:space="preserve"> </w:t>
      </w:r>
      <w:r w:rsidR="003E41E2" w:rsidRPr="009E0F3B">
        <w:rPr>
          <w:rFonts w:ascii="Cambria" w:hAnsi="Cambria"/>
          <w:sz w:val="24"/>
          <w:szCs w:val="24"/>
          <w:lang w:val="en-GB"/>
        </w:rPr>
        <w:t xml:space="preserve">The results of studies conducted in Hungarian educational settings are of considerable importance to us and </w:t>
      </w:r>
      <w:proofErr w:type="gramStart"/>
      <w:r w:rsidR="003868A7" w:rsidRPr="009E0F3B">
        <w:rPr>
          <w:rFonts w:ascii="Cambria" w:hAnsi="Cambria"/>
          <w:sz w:val="24"/>
          <w:szCs w:val="24"/>
          <w:lang w:val="en-GB"/>
        </w:rPr>
        <w:t>are capable of providing</w:t>
      </w:r>
      <w:proofErr w:type="gramEnd"/>
      <w:r w:rsidR="003E41E2" w:rsidRPr="009E0F3B">
        <w:rPr>
          <w:rFonts w:ascii="Cambria" w:hAnsi="Cambria"/>
          <w:sz w:val="24"/>
          <w:szCs w:val="24"/>
          <w:lang w:val="en-GB"/>
        </w:rPr>
        <w:t xml:space="preserve"> insightful information for two key reasons. Firstly, they illustrate the expectations that teachers hold, particularly </w:t>
      </w:r>
      <w:r w:rsidR="003868A7" w:rsidRPr="009E0F3B">
        <w:rPr>
          <w:rFonts w:ascii="Cambria" w:hAnsi="Cambria"/>
          <w:sz w:val="24"/>
          <w:szCs w:val="24"/>
          <w:lang w:val="en-GB"/>
        </w:rPr>
        <w:t>concerning</w:t>
      </w:r>
      <w:r w:rsidR="003E41E2" w:rsidRPr="009E0F3B">
        <w:rPr>
          <w:rFonts w:ascii="Cambria" w:hAnsi="Cambria"/>
          <w:sz w:val="24"/>
          <w:szCs w:val="24"/>
          <w:lang w:val="en-GB"/>
        </w:rPr>
        <w:t xml:space="preserve"> what stude</w:t>
      </w:r>
      <w:r w:rsidR="003868A7" w:rsidRPr="009E0F3B">
        <w:rPr>
          <w:rFonts w:ascii="Cambria" w:hAnsi="Cambria"/>
          <w:sz w:val="24"/>
          <w:szCs w:val="24"/>
          <w:lang w:val="en-GB"/>
        </w:rPr>
        <w:t>nts wish to receive from their educators. Second, th</w:t>
      </w:r>
      <w:r w:rsidR="003E41E2" w:rsidRPr="009E0F3B">
        <w:rPr>
          <w:rFonts w:ascii="Cambria" w:hAnsi="Cambria"/>
          <w:sz w:val="24"/>
          <w:szCs w:val="24"/>
          <w:lang w:val="en-GB"/>
        </w:rPr>
        <w:t>ese surveys offer insights into the varying needs of children, allowing for a comparative analysis of the attitudes among various student groups and</w:t>
      </w:r>
      <w:r w:rsidR="003868A7" w:rsidRPr="009E0F3B">
        <w:rPr>
          <w:rFonts w:ascii="Cambria" w:hAnsi="Cambria"/>
          <w:sz w:val="24"/>
          <w:szCs w:val="24"/>
          <w:lang w:val="en-GB"/>
        </w:rPr>
        <w:t xml:space="preserve"> demonstrating</w:t>
      </w:r>
      <w:r w:rsidR="003E41E2" w:rsidRPr="009E0F3B">
        <w:rPr>
          <w:rFonts w:ascii="Cambria" w:hAnsi="Cambria"/>
          <w:sz w:val="24"/>
          <w:szCs w:val="24"/>
          <w:lang w:val="en-GB"/>
        </w:rPr>
        <w:t xml:space="preserve"> how individualized treatment may differ across these groups.</w:t>
      </w:r>
    </w:p>
    <w:p w14:paraId="4F84A77D" w14:textId="5719E3CF" w:rsidR="00D61446" w:rsidRPr="009E0F3B" w:rsidRDefault="00D61446" w:rsidP="00140615">
      <w:pPr>
        <w:ind w:firstLine="708"/>
        <w:jc w:val="both"/>
        <w:rPr>
          <w:rFonts w:ascii="Cambria" w:hAnsi="Cambria"/>
          <w:sz w:val="24"/>
          <w:szCs w:val="24"/>
          <w:lang w:val="en-GB"/>
        </w:rPr>
      </w:pPr>
      <w:r w:rsidRPr="009E0F3B">
        <w:rPr>
          <w:rFonts w:ascii="Cambria" w:hAnsi="Cambria"/>
          <w:sz w:val="24"/>
          <w:szCs w:val="24"/>
          <w:lang w:val="en-GB"/>
        </w:rPr>
        <w:t xml:space="preserve">Anna </w:t>
      </w:r>
      <w:proofErr w:type="spellStart"/>
      <w:r w:rsidRPr="009E0F3B">
        <w:rPr>
          <w:rFonts w:ascii="Cambria" w:hAnsi="Cambria"/>
          <w:sz w:val="24"/>
          <w:szCs w:val="24"/>
          <w:lang w:val="en-GB"/>
        </w:rPr>
        <w:t>Imre’s</w:t>
      </w:r>
      <w:proofErr w:type="spellEnd"/>
      <w:r w:rsidRPr="009E0F3B">
        <w:rPr>
          <w:rFonts w:ascii="Cambria" w:hAnsi="Cambria"/>
          <w:sz w:val="24"/>
          <w:szCs w:val="24"/>
          <w:lang w:val="en-GB"/>
        </w:rPr>
        <w:t xml:space="preserve"> study of Roma vocational students showed that unprivileged learners of Roma origin have a greater need for affection, immediacy, individual </w:t>
      </w:r>
      <w:proofErr w:type="gramStart"/>
      <w:r w:rsidRPr="009E0F3B">
        <w:rPr>
          <w:rFonts w:ascii="Cambria" w:hAnsi="Cambria"/>
          <w:sz w:val="24"/>
          <w:szCs w:val="24"/>
          <w:lang w:val="en-GB"/>
        </w:rPr>
        <w:t>attention</w:t>
      </w:r>
      <w:proofErr w:type="gramEnd"/>
      <w:r w:rsidRPr="009E0F3B">
        <w:rPr>
          <w:rFonts w:ascii="Cambria" w:hAnsi="Cambria"/>
          <w:sz w:val="24"/>
          <w:szCs w:val="24"/>
          <w:lang w:val="en-GB"/>
        </w:rPr>
        <w:t xml:space="preserve"> and discipline from the teacher (</w:t>
      </w:r>
      <w:proofErr w:type="spellStart"/>
      <w:r w:rsidRPr="009E0F3B">
        <w:rPr>
          <w:rFonts w:ascii="Cambria" w:hAnsi="Cambria"/>
          <w:sz w:val="24"/>
          <w:szCs w:val="24"/>
          <w:lang w:val="en-GB"/>
        </w:rPr>
        <w:t>Imre</w:t>
      </w:r>
      <w:proofErr w:type="spellEnd"/>
      <w:r w:rsidRPr="009E0F3B">
        <w:rPr>
          <w:rFonts w:ascii="Cambria" w:hAnsi="Cambria"/>
          <w:sz w:val="24"/>
          <w:szCs w:val="24"/>
          <w:lang w:val="en-GB"/>
        </w:rPr>
        <w:t>, 1999).</w:t>
      </w:r>
      <w:r w:rsidR="00140615" w:rsidRPr="009E0F3B">
        <w:rPr>
          <w:rFonts w:ascii="Cambria" w:hAnsi="Cambria"/>
          <w:sz w:val="24"/>
          <w:szCs w:val="24"/>
          <w:lang w:val="en-GB"/>
        </w:rPr>
        <w:t xml:space="preserve"> </w:t>
      </w:r>
      <w:r w:rsidRPr="009E0F3B">
        <w:rPr>
          <w:rFonts w:ascii="Cambria" w:hAnsi="Cambria"/>
          <w:sz w:val="24"/>
          <w:szCs w:val="24"/>
          <w:lang w:val="en-GB"/>
        </w:rPr>
        <w:t xml:space="preserve">In contrast, N. </w:t>
      </w:r>
      <w:proofErr w:type="spellStart"/>
      <w:r w:rsidRPr="009E0F3B">
        <w:rPr>
          <w:rFonts w:ascii="Cambria" w:hAnsi="Cambria"/>
          <w:sz w:val="24"/>
          <w:szCs w:val="24"/>
          <w:lang w:val="en-GB"/>
        </w:rPr>
        <w:t>Kollár</w:t>
      </w:r>
      <w:proofErr w:type="spellEnd"/>
      <w:r w:rsidRPr="009E0F3B">
        <w:rPr>
          <w:rFonts w:ascii="Cambria" w:hAnsi="Cambria"/>
          <w:sz w:val="24"/>
          <w:szCs w:val="24"/>
          <w:lang w:val="en-GB"/>
        </w:rPr>
        <w:t xml:space="preserve"> (2008) compared the opinions of primary and secondary school students and found an increasing role for </w:t>
      </w:r>
      <w:r w:rsidRPr="009E0F3B">
        <w:rPr>
          <w:rFonts w:ascii="Cambria" w:hAnsi="Cambria"/>
          <w:sz w:val="24"/>
          <w:szCs w:val="24"/>
          <w:lang w:val="en-GB"/>
        </w:rPr>
        <w:lastRenderedPageBreak/>
        <w:t>expertise</w:t>
      </w:r>
      <w:r w:rsidR="00140615" w:rsidRPr="009E0F3B">
        <w:rPr>
          <w:rFonts w:ascii="Cambria" w:hAnsi="Cambria"/>
          <w:sz w:val="24"/>
          <w:szCs w:val="24"/>
          <w:lang w:val="en-GB"/>
        </w:rPr>
        <w:t xml:space="preserve"> and a decrease in personality. </w:t>
      </w:r>
      <w:r w:rsidRPr="009E0F3B">
        <w:rPr>
          <w:rFonts w:ascii="Cambria" w:hAnsi="Cambria"/>
          <w:sz w:val="24"/>
          <w:szCs w:val="24"/>
          <w:lang w:val="en-GB"/>
        </w:rPr>
        <w:t>As the characteristics of the ideal teacher</w:t>
      </w:r>
      <w:r w:rsidR="00140615" w:rsidRPr="009E0F3B">
        <w:rPr>
          <w:rFonts w:ascii="Cambria" w:hAnsi="Cambria"/>
          <w:sz w:val="24"/>
          <w:szCs w:val="24"/>
          <w:lang w:val="en-GB"/>
        </w:rPr>
        <w:t xml:space="preserve"> are </w:t>
      </w:r>
      <w:r w:rsidR="00355C43" w:rsidRPr="009E0F3B">
        <w:rPr>
          <w:rFonts w:ascii="Cambria" w:hAnsi="Cambria"/>
          <w:sz w:val="24"/>
          <w:szCs w:val="24"/>
          <w:lang w:val="en-GB"/>
        </w:rPr>
        <w:t>changing, so</w:t>
      </w:r>
      <w:r w:rsidR="00140615" w:rsidRPr="009E0F3B">
        <w:rPr>
          <w:rFonts w:ascii="Cambria" w:hAnsi="Cambria"/>
          <w:sz w:val="24"/>
          <w:szCs w:val="24"/>
          <w:lang w:val="en-GB"/>
        </w:rPr>
        <w:t xml:space="preserve"> are</w:t>
      </w:r>
      <w:r w:rsidRPr="009E0F3B">
        <w:rPr>
          <w:rFonts w:ascii="Cambria" w:hAnsi="Cambria"/>
          <w:sz w:val="24"/>
          <w:szCs w:val="24"/>
          <w:lang w:val="en-GB"/>
        </w:rPr>
        <w:t xml:space="preserve"> the roles of the teacher. According to Day (1993:</w:t>
      </w:r>
      <w:r w:rsidR="00140615" w:rsidRPr="009E0F3B">
        <w:rPr>
          <w:rFonts w:ascii="Cambria" w:hAnsi="Cambria"/>
          <w:sz w:val="24"/>
          <w:szCs w:val="24"/>
          <w:lang w:val="en-GB"/>
        </w:rPr>
        <w:t xml:space="preserve">45), </w:t>
      </w:r>
      <w:r w:rsidRPr="009E0F3B">
        <w:rPr>
          <w:rFonts w:ascii="Cambria" w:hAnsi="Cambria"/>
          <w:sz w:val="24"/>
          <w:szCs w:val="24"/>
          <w:lang w:val="en-GB"/>
        </w:rPr>
        <w:t>“</w:t>
      </w:r>
      <w:r w:rsidR="00355C43" w:rsidRPr="009E0F3B">
        <w:rPr>
          <w:rFonts w:ascii="Cambria" w:hAnsi="Cambria"/>
          <w:i/>
          <w:sz w:val="24"/>
          <w:szCs w:val="24"/>
          <w:lang w:val="en-GB"/>
        </w:rPr>
        <w:t>a</w:t>
      </w:r>
      <w:r w:rsidRPr="009E0F3B">
        <w:rPr>
          <w:rFonts w:ascii="Cambria" w:hAnsi="Cambria"/>
          <w:i/>
          <w:sz w:val="24"/>
          <w:szCs w:val="24"/>
          <w:lang w:val="en-GB"/>
        </w:rPr>
        <w:t>ll those who see their professional development as their responsibility must face the fact that teachers today are no longer the fountain of knowledge - information technology and the increasing openness of learning opportunities are likely to make it impossible to maintain this role - but rather pedagogical professionals responsible for the effectiveness of learning processes</w:t>
      </w:r>
      <w:r w:rsidRPr="009E0F3B">
        <w:rPr>
          <w:rFonts w:ascii="Cambria" w:hAnsi="Cambria"/>
          <w:sz w:val="24"/>
          <w:szCs w:val="24"/>
          <w:lang w:val="en-GB"/>
        </w:rPr>
        <w:t xml:space="preserve">”. </w:t>
      </w:r>
    </w:p>
    <w:p w14:paraId="2F1A5648" w14:textId="77777777" w:rsidR="00355C43" w:rsidRPr="009E0F3B" w:rsidRDefault="000F5945" w:rsidP="009B6DA2">
      <w:pPr>
        <w:ind w:firstLine="708"/>
        <w:jc w:val="both"/>
        <w:rPr>
          <w:rFonts w:ascii="Cambria" w:hAnsi="Cambria"/>
          <w:sz w:val="24"/>
          <w:szCs w:val="24"/>
          <w:lang w:val="en-GB"/>
        </w:rPr>
      </w:pPr>
      <w:r w:rsidRPr="009E0F3B">
        <w:rPr>
          <w:rFonts w:ascii="Cambria" w:hAnsi="Cambria"/>
          <w:sz w:val="24"/>
          <w:szCs w:val="24"/>
          <w:lang w:val="en-GB"/>
        </w:rPr>
        <w:t>Although</w:t>
      </w:r>
      <w:r w:rsidR="00355C43" w:rsidRPr="009E0F3B">
        <w:rPr>
          <w:rFonts w:ascii="Cambria" w:hAnsi="Cambria"/>
          <w:sz w:val="24"/>
          <w:szCs w:val="24"/>
          <w:lang w:val="en-GB"/>
        </w:rPr>
        <w:t xml:space="preserve"> more than 30 years have passed since Day’s statement,</w:t>
      </w:r>
      <w:r w:rsidRPr="009E0F3B">
        <w:rPr>
          <w:lang w:val="en-GB"/>
        </w:rPr>
        <w:t xml:space="preserve"> </w:t>
      </w:r>
      <w:r w:rsidRPr="009E0F3B">
        <w:rPr>
          <w:rFonts w:ascii="Cambria" w:hAnsi="Cambria"/>
          <w:sz w:val="24"/>
          <w:szCs w:val="24"/>
          <w:lang w:val="en-GB"/>
        </w:rPr>
        <w:t xml:space="preserve">these changes remain evident and pronounced. </w:t>
      </w:r>
      <w:proofErr w:type="spellStart"/>
      <w:r w:rsidRPr="009E0F3B">
        <w:rPr>
          <w:rFonts w:ascii="Cambria" w:hAnsi="Cambria"/>
          <w:sz w:val="24"/>
          <w:szCs w:val="24"/>
          <w:lang w:val="en-GB"/>
        </w:rPr>
        <w:t>Hercz</w:t>
      </w:r>
      <w:proofErr w:type="spellEnd"/>
      <w:r w:rsidRPr="009E0F3B">
        <w:rPr>
          <w:rFonts w:ascii="Cambria" w:hAnsi="Cambria"/>
          <w:sz w:val="24"/>
          <w:szCs w:val="24"/>
          <w:lang w:val="en-GB"/>
        </w:rPr>
        <w:t xml:space="preserve"> (2015) further supports this observation, noting that the status of teachers encompasses a range of roles, some of which are traditional and resistant to change, while others are changing. The author identifies several roles that have persisted beyond their conventional periods, such as the teacher as the sole source of knowledge, the knowledge transmitter, the subject mediator, and the facilitator of learners’ roles. Conversely, the continuing traditional roles include those of the educator in terms of nurturing, the teacher, and the varying degrees of these roles.</w:t>
      </w:r>
      <w:r w:rsidR="00355C43" w:rsidRPr="009E0F3B">
        <w:rPr>
          <w:rFonts w:ascii="Cambria" w:hAnsi="Cambria"/>
          <w:sz w:val="24"/>
          <w:szCs w:val="24"/>
          <w:lang w:val="en-GB"/>
        </w:rPr>
        <w:t xml:space="preserve"> New roles include the substitute parent, the therapist, the facilitator, the manager, the director, the expert, the consultant, the researcher-developer, the innovator</w:t>
      </w:r>
      <w:r w:rsidRPr="009E0F3B">
        <w:rPr>
          <w:rFonts w:ascii="Cambria" w:hAnsi="Cambria"/>
          <w:sz w:val="24"/>
          <w:szCs w:val="24"/>
          <w:lang w:val="en-GB"/>
        </w:rPr>
        <w:t>,</w:t>
      </w:r>
      <w:r w:rsidR="00355C43" w:rsidRPr="009E0F3B">
        <w:rPr>
          <w:rFonts w:ascii="Cambria" w:hAnsi="Cambria"/>
          <w:sz w:val="24"/>
          <w:szCs w:val="24"/>
          <w:lang w:val="en-GB"/>
        </w:rPr>
        <w:t xml:space="preserve"> and the creator-author (</w:t>
      </w:r>
      <w:proofErr w:type="spellStart"/>
      <w:r w:rsidR="00355C43" w:rsidRPr="009E0F3B">
        <w:rPr>
          <w:rFonts w:ascii="Cambria" w:hAnsi="Cambria"/>
          <w:sz w:val="24"/>
          <w:szCs w:val="24"/>
          <w:lang w:val="en-GB"/>
        </w:rPr>
        <w:t>H</w:t>
      </w:r>
      <w:r w:rsidRPr="009E0F3B">
        <w:rPr>
          <w:rFonts w:ascii="Cambria" w:hAnsi="Cambria"/>
          <w:sz w:val="24"/>
          <w:szCs w:val="24"/>
          <w:lang w:val="en-GB"/>
        </w:rPr>
        <w:t>ercz</w:t>
      </w:r>
      <w:proofErr w:type="spellEnd"/>
      <w:r w:rsidRPr="009E0F3B">
        <w:rPr>
          <w:rFonts w:ascii="Cambria" w:hAnsi="Cambria"/>
          <w:sz w:val="24"/>
          <w:szCs w:val="24"/>
          <w:lang w:val="en-GB"/>
        </w:rPr>
        <w:t xml:space="preserve"> et al., 2015</w:t>
      </w:r>
      <w:r w:rsidR="009B6DA2" w:rsidRPr="009E0F3B">
        <w:rPr>
          <w:rFonts w:ascii="Cambria" w:hAnsi="Cambria"/>
          <w:sz w:val="24"/>
          <w:szCs w:val="24"/>
          <w:lang w:val="en-GB"/>
        </w:rPr>
        <w:t xml:space="preserve">). Therefore, we can see that </w:t>
      </w:r>
      <w:r w:rsidR="00355C43" w:rsidRPr="009E0F3B">
        <w:rPr>
          <w:rFonts w:ascii="Cambria" w:hAnsi="Cambria"/>
          <w:sz w:val="24"/>
          <w:szCs w:val="24"/>
          <w:lang w:val="en-GB"/>
        </w:rPr>
        <w:t>the different role expectations are not always free</w:t>
      </w:r>
      <w:r w:rsidR="009B6DA2" w:rsidRPr="009E0F3B">
        <w:rPr>
          <w:rFonts w:ascii="Cambria" w:hAnsi="Cambria"/>
          <w:sz w:val="24"/>
          <w:szCs w:val="24"/>
          <w:lang w:val="en-GB"/>
        </w:rPr>
        <w:t xml:space="preserve"> of contradiction. O</w:t>
      </w:r>
      <w:r w:rsidR="00355C43" w:rsidRPr="009E0F3B">
        <w:rPr>
          <w:rFonts w:ascii="Cambria" w:hAnsi="Cambria"/>
          <w:sz w:val="24"/>
          <w:szCs w:val="24"/>
          <w:lang w:val="en-GB"/>
        </w:rPr>
        <w:t>ne could say that they are inseparable from the work of teaching. Many teachers highlighted that the responsibility that comes with 'power' conflicts with the extent of their helping attitude. Hence, although a large majority of teachers would like to remain in the loving model, the co-existence of a strong and authoritative leadership ro</w:t>
      </w:r>
      <w:r w:rsidR="009B6DA2" w:rsidRPr="009E0F3B">
        <w:rPr>
          <w:rFonts w:ascii="Cambria" w:hAnsi="Cambria"/>
          <w:sz w:val="24"/>
          <w:szCs w:val="24"/>
          <w:lang w:val="en-GB"/>
        </w:rPr>
        <w:t xml:space="preserve">le is not always feasible (Szabo et al., </w:t>
      </w:r>
      <w:r w:rsidR="00355C43" w:rsidRPr="009E0F3B">
        <w:rPr>
          <w:rFonts w:ascii="Cambria" w:hAnsi="Cambria"/>
          <w:sz w:val="24"/>
          <w:szCs w:val="24"/>
          <w:lang w:val="en-GB"/>
        </w:rPr>
        <w:t>2017)</w:t>
      </w:r>
      <w:r w:rsidR="009B6DA2" w:rsidRPr="009E0F3B">
        <w:rPr>
          <w:rFonts w:ascii="Cambria" w:hAnsi="Cambria"/>
          <w:sz w:val="24"/>
          <w:szCs w:val="24"/>
          <w:lang w:val="en-GB"/>
        </w:rPr>
        <w:t xml:space="preserve">. </w:t>
      </w:r>
    </w:p>
    <w:p w14:paraId="206CC2E7" w14:textId="2D69322E" w:rsidR="00FF6F45" w:rsidRPr="009E0F3B" w:rsidRDefault="00FF6F45" w:rsidP="00C46324">
      <w:pPr>
        <w:ind w:firstLine="708"/>
        <w:jc w:val="both"/>
        <w:rPr>
          <w:rFonts w:ascii="Cambria" w:hAnsi="Cambria"/>
          <w:sz w:val="24"/>
          <w:szCs w:val="24"/>
          <w:lang w:val="en-GB"/>
        </w:rPr>
      </w:pPr>
      <w:r w:rsidRPr="009E0F3B">
        <w:rPr>
          <w:rFonts w:ascii="Cambria" w:hAnsi="Cambria"/>
          <w:sz w:val="24"/>
          <w:szCs w:val="24"/>
          <w:lang w:val="en-GB"/>
        </w:rPr>
        <w:t xml:space="preserve">According to the Dictionary of the Hungarian Language, </w:t>
      </w:r>
      <w:r w:rsidR="00C46324" w:rsidRPr="009E0F3B">
        <w:rPr>
          <w:rFonts w:ascii="Cambria" w:hAnsi="Cambria"/>
          <w:sz w:val="24"/>
          <w:szCs w:val="24"/>
          <w:lang w:val="en-GB"/>
        </w:rPr>
        <w:t>authority</w:t>
      </w:r>
      <w:r w:rsidRPr="009E0F3B">
        <w:rPr>
          <w:rFonts w:ascii="Cambria" w:hAnsi="Cambria"/>
          <w:sz w:val="24"/>
          <w:szCs w:val="24"/>
          <w:lang w:val="en-GB"/>
        </w:rPr>
        <w:t xml:space="preserve"> "</w:t>
      </w:r>
      <w:r w:rsidRPr="009E0F3B">
        <w:rPr>
          <w:rFonts w:ascii="Cambria" w:hAnsi="Cambria"/>
          <w:i/>
          <w:sz w:val="24"/>
          <w:szCs w:val="24"/>
          <w:lang w:val="en-GB"/>
        </w:rPr>
        <w:t xml:space="preserve">means a certain moral advantage, which attracts the eyes of others to itself, which requires a certain respect, homage, which inspires faith, </w:t>
      </w:r>
      <w:proofErr w:type="gramStart"/>
      <w:r w:rsidRPr="009E0F3B">
        <w:rPr>
          <w:rFonts w:ascii="Cambria" w:hAnsi="Cambria"/>
          <w:i/>
          <w:sz w:val="24"/>
          <w:szCs w:val="24"/>
          <w:lang w:val="en-GB"/>
        </w:rPr>
        <w:t>trust in itself</w:t>
      </w:r>
      <w:proofErr w:type="gramEnd"/>
      <w:r w:rsidRPr="009E0F3B">
        <w:rPr>
          <w:rFonts w:ascii="Cambria" w:hAnsi="Cambria"/>
          <w:i/>
          <w:sz w:val="24"/>
          <w:szCs w:val="24"/>
          <w:lang w:val="en-GB"/>
        </w:rPr>
        <w:t>. (...) means a person, namely a man, who has made a name for himself in certain matters, knowledge, ability.</w:t>
      </w:r>
      <w:r w:rsidRPr="009E0F3B">
        <w:rPr>
          <w:rFonts w:ascii="Cambria" w:hAnsi="Cambria"/>
          <w:sz w:val="24"/>
          <w:szCs w:val="24"/>
          <w:lang w:val="en-GB"/>
        </w:rPr>
        <w:t>" (Dictionary of the H</w:t>
      </w:r>
      <w:r w:rsidR="00C46324" w:rsidRPr="009E0F3B">
        <w:rPr>
          <w:rFonts w:ascii="Cambria" w:hAnsi="Cambria"/>
          <w:sz w:val="24"/>
          <w:szCs w:val="24"/>
          <w:lang w:val="en-GB"/>
        </w:rPr>
        <w:t xml:space="preserve">ungarian Language: </w:t>
      </w:r>
      <w:proofErr w:type="spellStart"/>
      <w:r w:rsidR="00C46324" w:rsidRPr="009E0F3B">
        <w:rPr>
          <w:rFonts w:ascii="Cambria" w:hAnsi="Cambria"/>
          <w:sz w:val="24"/>
          <w:szCs w:val="24"/>
          <w:lang w:val="en-GB"/>
        </w:rPr>
        <w:t>tekintély</w:t>
      </w:r>
      <w:proofErr w:type="spellEnd"/>
      <w:r w:rsidR="00C46324" w:rsidRPr="009E0F3B">
        <w:rPr>
          <w:rFonts w:ascii="Cambria" w:hAnsi="Cambria"/>
          <w:sz w:val="24"/>
          <w:szCs w:val="24"/>
          <w:lang w:val="en-GB"/>
        </w:rPr>
        <w:t xml:space="preserve">). This definition indicates that the concept of authority is quite complex. It incorporates terms such as advantage, respect, honour, credit, confidence, and ability, highlighting the difficulties associated with articulating authority. When consulting a thesaurus, one finds synonyms like esteem, respect, reputation, and prestige, among others. </w:t>
      </w:r>
      <w:r w:rsidRPr="009E0F3B">
        <w:rPr>
          <w:rFonts w:ascii="Cambria" w:hAnsi="Cambria"/>
          <w:sz w:val="24"/>
          <w:szCs w:val="24"/>
          <w:lang w:val="en-GB"/>
        </w:rPr>
        <w:t>However, it should be mentioned that the pedagogical aspect of authority is controversial, since in pedagogy a distinction can be made between 'being in authority', in which the teacher is a recognised leader of the student, and 'being an authority',</w:t>
      </w:r>
      <w:r w:rsidR="00C46324" w:rsidRPr="009E0F3B">
        <w:rPr>
          <w:rFonts w:ascii="Cambria" w:hAnsi="Cambria"/>
          <w:sz w:val="24"/>
          <w:szCs w:val="24"/>
          <w:lang w:val="en-GB"/>
        </w:rPr>
        <w:t xml:space="preserve"> which is linked to the teacher’</w:t>
      </w:r>
      <w:r w:rsidRPr="009E0F3B">
        <w:rPr>
          <w:rFonts w:ascii="Cambria" w:hAnsi="Cambria"/>
          <w:sz w:val="24"/>
          <w:szCs w:val="24"/>
          <w:lang w:val="en-GB"/>
        </w:rPr>
        <w:t>s personal competences, such as expertise or preparation. If we consider authority along this division, we can say that both meanings are positive. We can see that in this approach, authority also creates the possibility of leadership as well as control, so it is not</w:t>
      </w:r>
      <w:r w:rsidR="00874C49" w:rsidRPr="009E0F3B">
        <w:rPr>
          <w:rFonts w:ascii="Cambria" w:hAnsi="Cambria"/>
          <w:sz w:val="24"/>
          <w:szCs w:val="24"/>
          <w:lang w:val="en-GB"/>
        </w:rPr>
        <w:t xml:space="preserve"> about the abuse of power (</w:t>
      </w:r>
      <w:proofErr w:type="spellStart"/>
      <w:r w:rsidR="00874C49" w:rsidRPr="009E0F3B">
        <w:rPr>
          <w:rFonts w:ascii="Cambria" w:hAnsi="Cambria"/>
          <w:sz w:val="24"/>
          <w:szCs w:val="24"/>
          <w:lang w:val="en-GB"/>
        </w:rPr>
        <w:t>Szabó</w:t>
      </w:r>
      <w:proofErr w:type="spellEnd"/>
      <w:r w:rsidRPr="009E0F3B">
        <w:rPr>
          <w:rFonts w:ascii="Cambria" w:hAnsi="Cambria"/>
          <w:sz w:val="24"/>
          <w:szCs w:val="24"/>
          <w:lang w:val="en-GB"/>
        </w:rPr>
        <w:t xml:space="preserve"> </w:t>
      </w:r>
      <w:r w:rsidR="00C46324" w:rsidRPr="009E0F3B">
        <w:rPr>
          <w:rFonts w:ascii="Cambria" w:hAnsi="Cambria"/>
          <w:sz w:val="24"/>
          <w:szCs w:val="24"/>
          <w:lang w:val="en-GB"/>
        </w:rPr>
        <w:t>et al., 20</w:t>
      </w:r>
      <w:r w:rsidRPr="009E0F3B">
        <w:rPr>
          <w:rFonts w:ascii="Cambria" w:hAnsi="Cambria"/>
          <w:sz w:val="24"/>
          <w:szCs w:val="24"/>
          <w:lang w:val="en-GB"/>
        </w:rPr>
        <w:t>17).</w:t>
      </w:r>
    </w:p>
    <w:p w14:paraId="489B5313" w14:textId="1B9E963E" w:rsidR="00B325DD" w:rsidRPr="009E0F3B" w:rsidRDefault="00B325DD" w:rsidP="00B325DD">
      <w:pPr>
        <w:ind w:firstLine="708"/>
        <w:jc w:val="both"/>
        <w:rPr>
          <w:rFonts w:ascii="Cambria" w:hAnsi="Cambria"/>
          <w:sz w:val="24"/>
          <w:szCs w:val="24"/>
          <w:lang w:val="en-GB"/>
        </w:rPr>
      </w:pPr>
      <w:proofErr w:type="spellStart"/>
      <w:r w:rsidRPr="009E0F3B">
        <w:rPr>
          <w:rFonts w:ascii="Cambria" w:hAnsi="Cambria"/>
          <w:sz w:val="24"/>
          <w:szCs w:val="24"/>
          <w:lang w:val="en-GB"/>
        </w:rPr>
        <w:t>Szabó</w:t>
      </w:r>
      <w:proofErr w:type="spellEnd"/>
      <w:r w:rsidRPr="009E0F3B">
        <w:rPr>
          <w:rFonts w:ascii="Cambria" w:hAnsi="Cambria"/>
          <w:sz w:val="24"/>
          <w:szCs w:val="24"/>
          <w:lang w:val="en-GB"/>
        </w:rPr>
        <w:t xml:space="preserve"> et al., (2017) offer an alternative perspective on authority, suggesting that its connotation is not always positive. They distinguish between "earned or assumed authority" and "authority derived from power." Earned or assumed authority is attained through training, knowledge, and expertise, yet it is confined to a specific domain and can be easily lost if the teacher makes mistakes within the field from which the authority derives.  This form of authority is instinctively recognized by learners, who initially regard adults with a level of respect until they come to understand that adults are not infallible. </w:t>
      </w:r>
      <w:r w:rsidRPr="009E0F3B">
        <w:rPr>
          <w:rFonts w:ascii="Cambria" w:hAnsi="Cambria"/>
          <w:sz w:val="24"/>
          <w:szCs w:val="24"/>
          <w:lang w:val="en-GB"/>
        </w:rPr>
        <w:lastRenderedPageBreak/>
        <w:t>Conversely, authority rooted in the teacher’s capacity to reward and punish is also discussed. Rewarding involves fulfilling certain student needs, while punishing entails failing to meet expectations, leading to consequences. This type of authority diminishes as children develop, as does dependence on the teacher. Opportunities for rewards and punishments can be exhausted quickly, as children's need for them decreases dramatically after they have experienced them (ibid.).</w:t>
      </w:r>
    </w:p>
    <w:p w14:paraId="68F90218" w14:textId="54E6A13E" w:rsidR="00B325DD" w:rsidRPr="009E0F3B" w:rsidRDefault="00B325DD" w:rsidP="00B325DD">
      <w:pPr>
        <w:ind w:firstLine="708"/>
        <w:jc w:val="both"/>
        <w:rPr>
          <w:rFonts w:ascii="Cambria" w:hAnsi="Cambria"/>
          <w:sz w:val="24"/>
          <w:szCs w:val="24"/>
          <w:lang w:val="en-GB"/>
        </w:rPr>
      </w:pPr>
      <w:r w:rsidRPr="009E0F3B">
        <w:rPr>
          <w:rFonts w:ascii="Cambria" w:hAnsi="Cambria"/>
          <w:sz w:val="24"/>
          <w:szCs w:val="24"/>
          <w:lang w:val="en-GB"/>
        </w:rPr>
        <w:t xml:space="preserve">The concept of authority is strongly influenced by changes in society. </w:t>
      </w:r>
      <w:r w:rsidR="0071733B" w:rsidRPr="009E0F3B">
        <w:rPr>
          <w:rFonts w:ascii="Cambria" w:hAnsi="Cambria"/>
          <w:sz w:val="24"/>
          <w:szCs w:val="24"/>
          <w:lang w:val="en-GB"/>
        </w:rPr>
        <w:t xml:space="preserve"> As has society, so has the parent-child relationship</w:t>
      </w:r>
      <w:r w:rsidRPr="009E0F3B">
        <w:rPr>
          <w:rFonts w:ascii="Cambria" w:hAnsi="Cambria"/>
          <w:sz w:val="24"/>
          <w:szCs w:val="24"/>
          <w:lang w:val="en-GB"/>
        </w:rPr>
        <w:t xml:space="preserve"> also changed a lot in the last two decades. This relationship has become much more flexible and mutual equality has become an important part of it. Children are taught to be independent and to form their own opinions, which then spills over i</w:t>
      </w:r>
      <w:r w:rsidR="00415B05" w:rsidRPr="009E0F3B">
        <w:rPr>
          <w:rFonts w:ascii="Cambria" w:hAnsi="Cambria"/>
          <w:sz w:val="24"/>
          <w:szCs w:val="24"/>
          <w:lang w:val="en-GB"/>
        </w:rPr>
        <w:t>nto secondary socialisation areas such as education systems</w:t>
      </w:r>
      <w:r w:rsidRPr="009E0F3B">
        <w:rPr>
          <w:rFonts w:ascii="Cambria" w:hAnsi="Cambria"/>
          <w:sz w:val="24"/>
          <w:szCs w:val="24"/>
          <w:lang w:val="en-GB"/>
        </w:rPr>
        <w:t>. The student of the 21</w:t>
      </w:r>
      <w:r w:rsidRPr="009E0F3B">
        <w:rPr>
          <w:rFonts w:ascii="Cambria" w:hAnsi="Cambria"/>
          <w:sz w:val="24"/>
          <w:szCs w:val="24"/>
          <w:vertAlign w:val="superscript"/>
          <w:lang w:val="en-GB"/>
        </w:rPr>
        <w:t xml:space="preserve">st </w:t>
      </w:r>
      <w:r w:rsidRPr="009E0F3B">
        <w:rPr>
          <w:rFonts w:ascii="Cambria" w:hAnsi="Cambria"/>
          <w:sz w:val="24"/>
          <w:szCs w:val="24"/>
          <w:lang w:val="en-GB"/>
        </w:rPr>
        <w:t>cent</w:t>
      </w:r>
      <w:r w:rsidR="0071733B" w:rsidRPr="009E0F3B">
        <w:rPr>
          <w:rFonts w:ascii="Cambria" w:hAnsi="Cambria"/>
          <w:sz w:val="24"/>
          <w:szCs w:val="24"/>
          <w:lang w:val="en-GB"/>
        </w:rPr>
        <w:t>ury is now able to formulate their</w:t>
      </w:r>
      <w:r w:rsidRPr="009E0F3B">
        <w:rPr>
          <w:rFonts w:ascii="Cambria" w:hAnsi="Cambria"/>
          <w:sz w:val="24"/>
          <w:szCs w:val="24"/>
          <w:lang w:val="en-GB"/>
        </w:rPr>
        <w:t xml:space="preserve"> expectations of an authoritative </w:t>
      </w:r>
      <w:proofErr w:type="gramStart"/>
      <w:r w:rsidRPr="009E0F3B">
        <w:rPr>
          <w:rFonts w:ascii="Cambria" w:hAnsi="Cambria"/>
          <w:sz w:val="24"/>
          <w:szCs w:val="24"/>
          <w:lang w:val="en-GB"/>
        </w:rPr>
        <w:t>teacher, and</w:t>
      </w:r>
      <w:proofErr w:type="gramEnd"/>
      <w:r w:rsidRPr="009E0F3B">
        <w:rPr>
          <w:rFonts w:ascii="Cambria" w:hAnsi="Cambria"/>
          <w:sz w:val="24"/>
          <w:szCs w:val="24"/>
          <w:lang w:val="en-GB"/>
        </w:rPr>
        <w:t xml:space="preserve"> prefers "authority based on mutual recognition of personal qualities" to authority based on power. Age differences, prof</w:t>
      </w:r>
      <w:r w:rsidR="0071733B" w:rsidRPr="009E0F3B">
        <w:rPr>
          <w:rFonts w:ascii="Cambria" w:hAnsi="Cambria"/>
          <w:sz w:val="24"/>
          <w:szCs w:val="24"/>
          <w:lang w:val="en-GB"/>
        </w:rPr>
        <w:t xml:space="preserve">essional competences, knowledge, </w:t>
      </w:r>
      <w:r w:rsidRPr="009E0F3B">
        <w:rPr>
          <w:rFonts w:ascii="Cambria" w:hAnsi="Cambria"/>
          <w:sz w:val="24"/>
          <w:szCs w:val="24"/>
          <w:lang w:val="en-GB"/>
        </w:rPr>
        <w:t>and hierarchical relationships are still important factors today, but students reject constant domination and prefer unders</w:t>
      </w:r>
      <w:r w:rsidR="0071733B" w:rsidRPr="009E0F3B">
        <w:rPr>
          <w:rFonts w:ascii="Cambria" w:hAnsi="Cambria"/>
          <w:sz w:val="24"/>
          <w:szCs w:val="24"/>
          <w:lang w:val="en-GB"/>
        </w:rPr>
        <w:t>tanding and helpfulness (</w:t>
      </w:r>
      <w:proofErr w:type="spellStart"/>
      <w:r w:rsidR="0071733B" w:rsidRPr="009E0F3B">
        <w:rPr>
          <w:rFonts w:ascii="Cambria" w:hAnsi="Cambria"/>
          <w:sz w:val="24"/>
          <w:szCs w:val="24"/>
          <w:lang w:val="en-GB"/>
        </w:rPr>
        <w:t>Csorba</w:t>
      </w:r>
      <w:proofErr w:type="spellEnd"/>
      <w:r w:rsidR="0071733B" w:rsidRPr="009E0F3B">
        <w:rPr>
          <w:rFonts w:ascii="Cambria" w:hAnsi="Cambria"/>
          <w:sz w:val="24"/>
          <w:szCs w:val="24"/>
          <w:lang w:val="en-GB"/>
        </w:rPr>
        <w:t xml:space="preserve">, </w:t>
      </w:r>
      <w:r w:rsidR="00BD69C9" w:rsidRPr="009E0F3B">
        <w:rPr>
          <w:rFonts w:ascii="Cambria" w:hAnsi="Cambria"/>
          <w:sz w:val="24"/>
          <w:szCs w:val="24"/>
          <w:lang w:val="en-GB"/>
        </w:rPr>
        <w:t xml:space="preserve">1995). </w:t>
      </w:r>
      <w:r w:rsidRPr="009E0F3B">
        <w:rPr>
          <w:rFonts w:ascii="Cambria" w:hAnsi="Cambria"/>
          <w:sz w:val="24"/>
          <w:szCs w:val="24"/>
          <w:lang w:val="en-GB"/>
        </w:rPr>
        <w:t xml:space="preserve">If </w:t>
      </w:r>
      <w:r w:rsidR="00BD69C9" w:rsidRPr="009E0F3B">
        <w:rPr>
          <w:rFonts w:ascii="Cambria" w:hAnsi="Cambria"/>
          <w:sz w:val="24"/>
          <w:szCs w:val="24"/>
          <w:lang w:val="en-GB"/>
        </w:rPr>
        <w:t>considering this</w:t>
      </w:r>
      <w:r w:rsidRPr="009E0F3B">
        <w:rPr>
          <w:rFonts w:ascii="Cambria" w:hAnsi="Cambria"/>
          <w:sz w:val="24"/>
          <w:szCs w:val="24"/>
          <w:lang w:val="en-GB"/>
        </w:rPr>
        <w:t xml:space="preserve">, we can see that one of the most difficult and conflictual aspects of social roles </w:t>
      </w:r>
      <w:r w:rsidR="00BD69C9" w:rsidRPr="009E0F3B">
        <w:rPr>
          <w:rFonts w:ascii="Cambria" w:hAnsi="Cambria"/>
          <w:sz w:val="24"/>
          <w:szCs w:val="24"/>
          <w:lang w:val="en-GB"/>
        </w:rPr>
        <w:t xml:space="preserve">is leadership, </w:t>
      </w:r>
      <w:proofErr w:type="gramStart"/>
      <w:r w:rsidR="00BD69C9" w:rsidRPr="009E0F3B">
        <w:rPr>
          <w:rFonts w:ascii="Cambria" w:hAnsi="Cambria"/>
          <w:sz w:val="24"/>
          <w:szCs w:val="24"/>
          <w:lang w:val="en-GB"/>
        </w:rPr>
        <w:t>i.e.</w:t>
      </w:r>
      <w:proofErr w:type="gramEnd"/>
      <w:r w:rsidR="00BD69C9" w:rsidRPr="009E0F3B">
        <w:rPr>
          <w:rFonts w:ascii="Cambria" w:hAnsi="Cambria"/>
          <w:sz w:val="24"/>
          <w:szCs w:val="24"/>
          <w:lang w:val="en-GB"/>
        </w:rPr>
        <w:t xml:space="preserve"> the teacher’</w:t>
      </w:r>
      <w:r w:rsidRPr="009E0F3B">
        <w:rPr>
          <w:rFonts w:ascii="Cambria" w:hAnsi="Cambria"/>
          <w:sz w:val="24"/>
          <w:szCs w:val="24"/>
          <w:lang w:val="en-GB"/>
        </w:rPr>
        <w:t xml:space="preserve">s implementation of </w:t>
      </w:r>
      <w:r w:rsidR="00BD69C9" w:rsidRPr="009E0F3B">
        <w:rPr>
          <w:rFonts w:ascii="Cambria" w:hAnsi="Cambria"/>
          <w:sz w:val="24"/>
          <w:szCs w:val="24"/>
          <w:lang w:val="en-GB"/>
        </w:rPr>
        <w:t>their</w:t>
      </w:r>
      <w:r w:rsidRPr="009E0F3B">
        <w:rPr>
          <w:rFonts w:ascii="Cambria" w:hAnsi="Cambria"/>
          <w:sz w:val="24"/>
          <w:szCs w:val="24"/>
          <w:lang w:val="en-GB"/>
        </w:rPr>
        <w:t xml:space="preserve"> leadership role. According to Cartwright and Zander (1968), </w:t>
      </w:r>
      <w:r w:rsidR="00BD69C9" w:rsidRPr="009E0F3B">
        <w:rPr>
          <w:rFonts w:ascii="Cambria" w:hAnsi="Cambria"/>
          <w:sz w:val="24"/>
          <w:szCs w:val="24"/>
          <w:lang w:val="en-GB"/>
        </w:rPr>
        <w:t xml:space="preserve">leadership can be understood as both a </w:t>
      </w:r>
      <w:r w:rsidRPr="009E0F3B">
        <w:rPr>
          <w:rFonts w:ascii="Cambria" w:hAnsi="Cambria"/>
          <w:sz w:val="24"/>
          <w:szCs w:val="24"/>
          <w:lang w:val="en-GB"/>
        </w:rPr>
        <w:t xml:space="preserve">characteristic of </w:t>
      </w:r>
      <w:r w:rsidR="00BD69C9" w:rsidRPr="009E0F3B">
        <w:rPr>
          <w:rFonts w:ascii="Cambria" w:hAnsi="Cambria"/>
          <w:sz w:val="24"/>
          <w:szCs w:val="24"/>
          <w:lang w:val="en-GB"/>
        </w:rPr>
        <w:t>a</w:t>
      </w:r>
      <w:r w:rsidRPr="009E0F3B">
        <w:rPr>
          <w:rFonts w:ascii="Cambria" w:hAnsi="Cambria"/>
          <w:sz w:val="24"/>
          <w:szCs w:val="24"/>
          <w:lang w:val="en-GB"/>
        </w:rPr>
        <w:t xml:space="preserve"> group, </w:t>
      </w:r>
      <w:r w:rsidR="00BD69C9" w:rsidRPr="009E0F3B">
        <w:rPr>
          <w:rFonts w:ascii="Cambria" w:hAnsi="Cambria"/>
          <w:sz w:val="24"/>
          <w:szCs w:val="24"/>
          <w:lang w:val="en-GB"/>
        </w:rPr>
        <w:t xml:space="preserve">or </w:t>
      </w:r>
      <w:r w:rsidRPr="009E0F3B">
        <w:rPr>
          <w:rFonts w:ascii="Cambria" w:hAnsi="Cambria"/>
          <w:sz w:val="24"/>
          <w:szCs w:val="24"/>
          <w:lang w:val="en-GB"/>
        </w:rPr>
        <w:t xml:space="preserve">a characteristic of </w:t>
      </w:r>
      <w:r w:rsidR="00BD69C9" w:rsidRPr="009E0F3B">
        <w:rPr>
          <w:rFonts w:ascii="Cambria" w:hAnsi="Cambria"/>
          <w:sz w:val="24"/>
          <w:szCs w:val="24"/>
          <w:lang w:val="en-GB"/>
        </w:rPr>
        <w:t>an</w:t>
      </w:r>
      <w:r w:rsidRPr="009E0F3B">
        <w:rPr>
          <w:rFonts w:ascii="Cambria" w:hAnsi="Cambria"/>
          <w:sz w:val="24"/>
          <w:szCs w:val="24"/>
          <w:lang w:val="en-GB"/>
        </w:rPr>
        <w:t xml:space="preserve"> individual. In this sense, the authoritative teacher can be described as a leader to some extent. A study by Kirkpatrick and Locke (1991) on the personality traits of leaders ident</w:t>
      </w:r>
      <w:r w:rsidR="00BD69C9" w:rsidRPr="009E0F3B">
        <w:rPr>
          <w:rFonts w:ascii="Cambria" w:hAnsi="Cambria"/>
          <w:sz w:val="24"/>
          <w:szCs w:val="24"/>
          <w:lang w:val="en-GB"/>
        </w:rPr>
        <w:t>ify</w:t>
      </w:r>
      <w:r w:rsidRPr="009E0F3B">
        <w:rPr>
          <w:rFonts w:ascii="Cambria" w:hAnsi="Cambria"/>
          <w:sz w:val="24"/>
          <w:szCs w:val="24"/>
          <w:lang w:val="en-GB"/>
        </w:rPr>
        <w:t xml:space="preserve"> the most important characteristics of leaders, which </w:t>
      </w:r>
      <w:r w:rsidR="00BD69C9" w:rsidRPr="009E0F3B">
        <w:rPr>
          <w:rFonts w:ascii="Cambria" w:hAnsi="Cambria"/>
          <w:sz w:val="24"/>
          <w:szCs w:val="24"/>
          <w:lang w:val="en-GB"/>
        </w:rPr>
        <w:t xml:space="preserve">are having ambition, being honest, having </w:t>
      </w:r>
      <w:r w:rsidRPr="009E0F3B">
        <w:rPr>
          <w:rFonts w:ascii="Cambria" w:hAnsi="Cambria"/>
          <w:sz w:val="24"/>
          <w:szCs w:val="24"/>
          <w:lang w:val="en-GB"/>
        </w:rPr>
        <w:t xml:space="preserve">self-confidence, </w:t>
      </w:r>
      <w:r w:rsidR="00BD69C9" w:rsidRPr="009E0F3B">
        <w:rPr>
          <w:rFonts w:ascii="Cambria" w:hAnsi="Cambria"/>
          <w:sz w:val="24"/>
          <w:szCs w:val="24"/>
          <w:lang w:val="en-GB"/>
        </w:rPr>
        <w:t xml:space="preserve">having </w:t>
      </w:r>
      <w:r w:rsidRPr="009E0F3B">
        <w:rPr>
          <w:rFonts w:ascii="Cambria" w:hAnsi="Cambria"/>
          <w:sz w:val="24"/>
          <w:szCs w:val="24"/>
          <w:lang w:val="en-GB"/>
        </w:rPr>
        <w:t xml:space="preserve">adequate cognitive ability, </w:t>
      </w:r>
      <w:r w:rsidR="00BD69C9" w:rsidRPr="009E0F3B">
        <w:rPr>
          <w:rFonts w:ascii="Cambria" w:hAnsi="Cambria"/>
          <w:sz w:val="24"/>
          <w:szCs w:val="24"/>
          <w:lang w:val="en-GB"/>
        </w:rPr>
        <w:t>being competent, and being</w:t>
      </w:r>
      <w:r w:rsidRPr="009E0F3B">
        <w:rPr>
          <w:rFonts w:ascii="Cambria" w:hAnsi="Cambria"/>
          <w:sz w:val="24"/>
          <w:szCs w:val="24"/>
          <w:lang w:val="en-GB"/>
        </w:rPr>
        <w:t xml:space="preserve"> creative and flexible. </w:t>
      </w:r>
    </w:p>
    <w:p w14:paraId="59E0297E" w14:textId="50751905" w:rsidR="00B63514" w:rsidRPr="009E0F3B" w:rsidRDefault="00B325DD" w:rsidP="009B347A">
      <w:pPr>
        <w:ind w:firstLine="708"/>
        <w:jc w:val="both"/>
        <w:rPr>
          <w:rFonts w:ascii="Cambria" w:hAnsi="Cambria"/>
          <w:sz w:val="24"/>
          <w:szCs w:val="24"/>
          <w:lang w:val="en-GB"/>
        </w:rPr>
      </w:pPr>
      <w:r w:rsidRPr="009E0F3B">
        <w:rPr>
          <w:rFonts w:ascii="Cambria" w:hAnsi="Cambria"/>
          <w:sz w:val="24"/>
          <w:szCs w:val="24"/>
          <w:lang w:val="en-GB"/>
        </w:rPr>
        <w:t>As regards personality traits, we should first look at the concept of personality. According to All</w:t>
      </w:r>
      <w:r w:rsidR="009B347A" w:rsidRPr="009E0F3B">
        <w:rPr>
          <w:rFonts w:ascii="Cambria" w:hAnsi="Cambria"/>
          <w:sz w:val="24"/>
          <w:szCs w:val="24"/>
          <w:lang w:val="en-GB"/>
        </w:rPr>
        <w:t>port (1997:39), personality is “</w:t>
      </w:r>
      <w:r w:rsidRPr="009E0F3B">
        <w:rPr>
          <w:rFonts w:ascii="Cambria" w:hAnsi="Cambria"/>
          <w:i/>
          <w:sz w:val="24"/>
          <w:szCs w:val="24"/>
          <w:lang w:val="en-GB"/>
        </w:rPr>
        <w:t>the dynamic organisation within an individual of the psychophysical systems that determine his characteristic behaviour</w:t>
      </w:r>
      <w:r w:rsidR="009B347A" w:rsidRPr="009E0F3B">
        <w:rPr>
          <w:rFonts w:ascii="Cambria" w:hAnsi="Cambria"/>
          <w:i/>
          <w:sz w:val="24"/>
          <w:szCs w:val="24"/>
          <w:lang w:val="en-GB"/>
        </w:rPr>
        <w:t xml:space="preserve"> and thinking</w:t>
      </w:r>
      <w:r w:rsidR="009B347A" w:rsidRPr="009E0F3B">
        <w:rPr>
          <w:rFonts w:ascii="Cambria" w:hAnsi="Cambria"/>
          <w:sz w:val="24"/>
          <w:szCs w:val="24"/>
          <w:lang w:val="en-GB"/>
        </w:rPr>
        <w:t xml:space="preserve">”. </w:t>
      </w:r>
      <w:proofErr w:type="spellStart"/>
      <w:r w:rsidR="009B347A" w:rsidRPr="009E0F3B">
        <w:rPr>
          <w:rFonts w:ascii="Cambria" w:hAnsi="Cambria"/>
          <w:sz w:val="24"/>
          <w:szCs w:val="24"/>
          <w:lang w:val="en-GB"/>
        </w:rPr>
        <w:t>Malovics</w:t>
      </w:r>
      <w:proofErr w:type="spellEnd"/>
      <w:r w:rsidR="009B347A" w:rsidRPr="009E0F3B">
        <w:rPr>
          <w:rFonts w:ascii="Cambria" w:hAnsi="Cambria"/>
          <w:sz w:val="24"/>
          <w:szCs w:val="24"/>
          <w:lang w:val="en-GB"/>
        </w:rPr>
        <w:t xml:space="preserve"> (2020:3) further states that “</w:t>
      </w:r>
      <w:r w:rsidR="009B347A" w:rsidRPr="009E0F3B">
        <w:rPr>
          <w:rFonts w:ascii="Cambria" w:hAnsi="Cambria"/>
          <w:i/>
          <w:sz w:val="24"/>
          <w:szCs w:val="24"/>
          <w:lang w:val="en-GB"/>
        </w:rPr>
        <w:t>t</w:t>
      </w:r>
      <w:r w:rsidRPr="009E0F3B">
        <w:rPr>
          <w:rFonts w:ascii="Cambria" w:hAnsi="Cambria"/>
          <w:i/>
          <w:sz w:val="24"/>
          <w:szCs w:val="24"/>
          <w:lang w:val="en-GB"/>
        </w:rPr>
        <w:t>rait theory of personality holds that people differ along a number of personality dimensions</w:t>
      </w:r>
      <w:r w:rsidR="009B347A" w:rsidRPr="009E0F3B">
        <w:rPr>
          <w:rFonts w:ascii="Cambria" w:hAnsi="Cambria"/>
          <w:sz w:val="24"/>
          <w:szCs w:val="24"/>
          <w:lang w:val="en-GB"/>
        </w:rPr>
        <w:t>”.</w:t>
      </w:r>
      <w:r w:rsidRPr="009E0F3B">
        <w:rPr>
          <w:rFonts w:ascii="Cambria" w:hAnsi="Cambria"/>
          <w:sz w:val="24"/>
          <w:szCs w:val="24"/>
          <w:lang w:val="en-GB"/>
        </w:rPr>
        <w:t xml:space="preserve"> On the question of which personality traits are fundamental, a consensus has begun to emerge among researchers that personality is composed of five higher order factors, which have been termed the "Big Five" (Peck and Whitlow 1983).</w:t>
      </w:r>
    </w:p>
    <w:p w14:paraId="374DB6E6" w14:textId="78DE3301" w:rsidR="00826E32" w:rsidRPr="009E0F3B" w:rsidRDefault="00826E32" w:rsidP="00826E32">
      <w:pPr>
        <w:ind w:firstLine="708"/>
        <w:jc w:val="both"/>
        <w:rPr>
          <w:rFonts w:ascii="Cambria" w:hAnsi="Cambria"/>
          <w:sz w:val="24"/>
          <w:szCs w:val="24"/>
          <w:lang w:val="en-GB"/>
        </w:rPr>
      </w:pPr>
      <w:r w:rsidRPr="009E0F3B">
        <w:rPr>
          <w:rFonts w:ascii="Cambria" w:hAnsi="Cambria"/>
          <w:sz w:val="24"/>
          <w:szCs w:val="24"/>
          <w:lang w:val="en-GB"/>
        </w:rPr>
        <w:t xml:space="preserve">The Big Five model has a long history in personality psychology. Starting in the 1930s, researchers began to study the common words in the English language that people regularly used to describe certain personality traits. Through statistical analysis, they discovered that these traits could be grouped at the level of language. By the 1960s, these groups had been organized into five broad traits, which were eventually named the Big Five in 1981. This model is now one of the most widely used and influential tools in the study of personality (DeYoung et al., 2016). The Big Five model conceptualises personality traits as spectra and places individuals on a scale between the two extreme ends of these dimensions. An example is openness. The Big Five model places the individual on a scale that determines the level of openness. These indicators can be used to effectively measure personality differences between individuals and are relatively stable over a person's lifetime. They are significantly influenced by environment and genes and can be used to </w:t>
      </w:r>
      <w:r w:rsidRPr="009E0F3B">
        <w:rPr>
          <w:rFonts w:ascii="Cambria" w:hAnsi="Cambria"/>
          <w:sz w:val="24"/>
          <w:szCs w:val="24"/>
          <w:lang w:val="en-GB"/>
        </w:rPr>
        <w:lastRenderedPageBreak/>
        <w:t>predict certain life outcomes, such as career or education (Lim, 2023). The characteristics of each category are described below.</w:t>
      </w:r>
    </w:p>
    <w:p w14:paraId="072D4998" w14:textId="02FD8CEF" w:rsidR="00DE0F1B" w:rsidRPr="009E0F3B" w:rsidRDefault="00DE0F1B" w:rsidP="00DE0F1B">
      <w:pPr>
        <w:ind w:firstLine="708"/>
        <w:jc w:val="both"/>
        <w:rPr>
          <w:rFonts w:ascii="Cambria" w:hAnsi="Cambria"/>
          <w:sz w:val="24"/>
          <w:szCs w:val="24"/>
          <w:lang w:val="en-GB"/>
        </w:rPr>
      </w:pPr>
      <w:r w:rsidRPr="009E0F3B">
        <w:rPr>
          <w:rFonts w:ascii="Cambria" w:hAnsi="Cambria"/>
          <w:sz w:val="24"/>
          <w:szCs w:val="24"/>
          <w:lang w:val="en-GB"/>
        </w:rPr>
        <w:t xml:space="preserve">According to the </w:t>
      </w:r>
      <w:r w:rsidRPr="009E0F3B">
        <w:rPr>
          <w:rFonts w:ascii="Cambria" w:hAnsi="Cambria"/>
          <w:i/>
          <w:sz w:val="24"/>
          <w:szCs w:val="24"/>
          <w:lang w:val="en-GB"/>
        </w:rPr>
        <w:t>extraversion</w:t>
      </w:r>
      <w:r w:rsidRPr="009E0F3B">
        <w:rPr>
          <w:rFonts w:ascii="Cambria" w:hAnsi="Cambria"/>
          <w:sz w:val="24"/>
          <w:szCs w:val="24"/>
          <w:lang w:val="en-GB"/>
        </w:rPr>
        <w:t xml:space="preserve"> group, an extraverted individual is generally assertive and outgoing, while a less extraverted individual is quieter and more reserved. Highly extroverts tend to have a wide circle of friends, while less extroverts tend to focus on a few close friends (Soto, 2018). That is, it reflects the tendency and intensity to which an individual aspires when interacting with their environment, expressing confidence and comfort in social settings. The concepts are divided into two groups according to their intensity, which are "high" and "low". High intensity includes energetic social interaction, thrill-seeking, attention-seeking, and sociability. The low-intensity ones include loneliness preference, tired social interaction, reservation, and others (Lim, 2023).</w:t>
      </w:r>
    </w:p>
    <w:p w14:paraId="6F6D0550" w14:textId="7F0A15DD" w:rsidR="00DE0F1B" w:rsidRPr="009E0F3B" w:rsidRDefault="00DE0F1B" w:rsidP="00DE0F1B">
      <w:pPr>
        <w:ind w:firstLine="708"/>
        <w:jc w:val="both"/>
        <w:rPr>
          <w:rFonts w:ascii="Cambria" w:hAnsi="Cambria"/>
          <w:sz w:val="24"/>
          <w:szCs w:val="24"/>
          <w:lang w:val="en-GB"/>
        </w:rPr>
      </w:pPr>
      <w:r w:rsidRPr="009E0F3B">
        <w:rPr>
          <w:rFonts w:ascii="Cambria" w:hAnsi="Cambria"/>
          <w:sz w:val="24"/>
          <w:szCs w:val="24"/>
          <w:lang w:val="en-GB"/>
        </w:rPr>
        <w:t xml:space="preserve">The </w:t>
      </w:r>
      <w:r w:rsidRPr="009E0F3B">
        <w:rPr>
          <w:rFonts w:ascii="Cambria" w:hAnsi="Cambria"/>
          <w:i/>
          <w:sz w:val="24"/>
          <w:szCs w:val="24"/>
          <w:lang w:val="en-GB"/>
        </w:rPr>
        <w:t>agreeableness</w:t>
      </w:r>
      <w:r w:rsidRPr="009E0F3B">
        <w:rPr>
          <w:rFonts w:ascii="Cambria" w:hAnsi="Cambria"/>
          <w:sz w:val="24"/>
          <w:szCs w:val="24"/>
          <w:lang w:val="en-GB"/>
        </w:rPr>
        <w:t xml:space="preserve"> category includes characteristics that individuals are generally tolerant, compa</w:t>
      </w:r>
      <w:r w:rsidR="00E54FEA" w:rsidRPr="009E0F3B">
        <w:rPr>
          <w:rFonts w:ascii="Cambria" w:hAnsi="Cambria"/>
          <w:sz w:val="24"/>
          <w:szCs w:val="24"/>
          <w:lang w:val="en-GB"/>
        </w:rPr>
        <w:t xml:space="preserve">ssionate, and trustworthy (Soto, </w:t>
      </w:r>
      <w:r w:rsidRPr="009E0F3B">
        <w:rPr>
          <w:rFonts w:ascii="Cambria" w:hAnsi="Cambria"/>
          <w:sz w:val="24"/>
          <w:szCs w:val="24"/>
          <w:lang w:val="en-GB"/>
        </w:rPr>
        <w:t xml:space="preserve">2018). Furthermore, </w:t>
      </w:r>
      <w:proofErr w:type="spellStart"/>
      <w:r w:rsidRPr="009E0F3B">
        <w:rPr>
          <w:rFonts w:ascii="Cambria" w:hAnsi="Cambria"/>
          <w:sz w:val="24"/>
          <w:szCs w:val="24"/>
          <w:lang w:val="en-GB"/>
        </w:rPr>
        <w:t>Törő</w:t>
      </w:r>
      <w:proofErr w:type="spellEnd"/>
      <w:r w:rsidRPr="009E0F3B">
        <w:rPr>
          <w:rFonts w:ascii="Cambria" w:hAnsi="Cambria"/>
          <w:sz w:val="24"/>
          <w:szCs w:val="24"/>
          <w:lang w:val="en-GB"/>
        </w:rPr>
        <w:t xml:space="preserve"> et al. (2020) include caring and lovingness here. In contrast to extraversion, which consists of seeking relationships, friendliness focuses on interacting with others. High intensity includes trust, honesty, conformity, </w:t>
      </w:r>
      <w:proofErr w:type="gramStart"/>
      <w:r w:rsidRPr="009E0F3B">
        <w:rPr>
          <w:rFonts w:ascii="Cambria" w:hAnsi="Cambria"/>
          <w:sz w:val="24"/>
          <w:szCs w:val="24"/>
          <w:lang w:val="en-GB"/>
        </w:rPr>
        <w:t>modesty</w:t>
      </w:r>
      <w:proofErr w:type="gramEnd"/>
      <w:r w:rsidRPr="009E0F3B">
        <w:rPr>
          <w:rFonts w:ascii="Cambria" w:hAnsi="Cambria"/>
          <w:sz w:val="24"/>
          <w:szCs w:val="24"/>
          <w:lang w:val="en-GB"/>
        </w:rPr>
        <w:t xml:space="preserve"> and empathy. Low intensities include scepticism, stubbornness, disinterest, belittling and demanding. According to B.R. Little, friendliness is not closely related to organisational success, as "</w:t>
      </w:r>
      <w:r w:rsidRPr="009E0F3B">
        <w:rPr>
          <w:rFonts w:ascii="Cambria" w:hAnsi="Cambria"/>
          <w:i/>
          <w:sz w:val="24"/>
          <w:szCs w:val="24"/>
          <w:lang w:val="en-GB"/>
        </w:rPr>
        <w:t>there is evidence that friendly people are less successful at their jobs, at least as their earnings suggest</w:t>
      </w:r>
      <w:r w:rsidR="00E54FEA" w:rsidRPr="009E0F3B">
        <w:rPr>
          <w:rFonts w:ascii="Cambria" w:hAnsi="Cambria"/>
          <w:sz w:val="24"/>
          <w:szCs w:val="24"/>
          <w:lang w:val="en-GB"/>
        </w:rPr>
        <w:t>" (Little, 2017:</w:t>
      </w:r>
      <w:r w:rsidRPr="009E0F3B">
        <w:rPr>
          <w:rFonts w:ascii="Cambria" w:hAnsi="Cambria"/>
          <w:sz w:val="24"/>
          <w:szCs w:val="24"/>
          <w:lang w:val="en-GB"/>
        </w:rPr>
        <w:t xml:space="preserve">51). </w:t>
      </w:r>
    </w:p>
    <w:p w14:paraId="4471B7A3" w14:textId="3955CCCC" w:rsidR="00DE0F1B" w:rsidRPr="009E0F3B" w:rsidRDefault="00DE0F1B" w:rsidP="00DE0F1B">
      <w:pPr>
        <w:ind w:firstLine="708"/>
        <w:jc w:val="both"/>
        <w:rPr>
          <w:rFonts w:ascii="Cambria" w:hAnsi="Cambria"/>
          <w:sz w:val="24"/>
          <w:szCs w:val="24"/>
          <w:lang w:val="en-GB"/>
        </w:rPr>
      </w:pPr>
      <w:r w:rsidRPr="009E0F3B">
        <w:rPr>
          <w:rFonts w:ascii="Cambria" w:hAnsi="Cambria"/>
          <w:sz w:val="24"/>
          <w:szCs w:val="24"/>
          <w:lang w:val="en-GB"/>
        </w:rPr>
        <w:t xml:space="preserve">The </w:t>
      </w:r>
      <w:r w:rsidRPr="009E0F3B">
        <w:rPr>
          <w:rFonts w:ascii="Cambria" w:hAnsi="Cambria"/>
          <w:i/>
          <w:sz w:val="24"/>
          <w:szCs w:val="24"/>
          <w:lang w:val="en-GB"/>
        </w:rPr>
        <w:t xml:space="preserve">conscientiousness </w:t>
      </w:r>
      <w:r w:rsidRPr="009E0F3B">
        <w:rPr>
          <w:rFonts w:ascii="Cambria" w:hAnsi="Cambria"/>
          <w:sz w:val="24"/>
          <w:szCs w:val="24"/>
          <w:lang w:val="en-GB"/>
        </w:rPr>
        <w:t>category includes characteristics that indicate that conscientious individuals are more self-disciplined, goal-</w:t>
      </w:r>
      <w:proofErr w:type="gramStart"/>
      <w:r w:rsidRPr="009E0F3B">
        <w:rPr>
          <w:rFonts w:ascii="Cambria" w:hAnsi="Cambria"/>
          <w:sz w:val="24"/>
          <w:szCs w:val="24"/>
          <w:lang w:val="en-GB"/>
        </w:rPr>
        <w:t>oriented</w:t>
      </w:r>
      <w:proofErr w:type="gramEnd"/>
      <w:r w:rsidRPr="009E0F3B">
        <w:rPr>
          <w:rFonts w:ascii="Cambria" w:hAnsi="Cambria"/>
          <w:sz w:val="24"/>
          <w:szCs w:val="24"/>
          <w:lang w:val="en-GB"/>
        </w:rPr>
        <w:t xml:space="preserve"> and organised. They </w:t>
      </w:r>
      <w:r w:rsidR="00E54FEA" w:rsidRPr="009E0F3B">
        <w:rPr>
          <w:rFonts w:ascii="Cambria" w:hAnsi="Cambria"/>
          <w:sz w:val="24"/>
          <w:szCs w:val="24"/>
          <w:lang w:val="en-GB"/>
        </w:rPr>
        <w:t>enjoy planning</w:t>
      </w:r>
      <w:r w:rsidRPr="009E0F3B">
        <w:rPr>
          <w:rFonts w:ascii="Cambria" w:hAnsi="Cambria"/>
          <w:sz w:val="24"/>
          <w:szCs w:val="24"/>
          <w:lang w:val="en-GB"/>
        </w:rPr>
        <w:t xml:space="preserve"> their lives and stick</w:t>
      </w:r>
      <w:r w:rsidR="00E54FEA" w:rsidRPr="009E0F3B">
        <w:rPr>
          <w:rFonts w:ascii="Cambria" w:hAnsi="Cambria"/>
          <w:sz w:val="24"/>
          <w:szCs w:val="24"/>
          <w:lang w:val="en-GB"/>
        </w:rPr>
        <w:t>ing</w:t>
      </w:r>
      <w:r w:rsidR="00B4282C" w:rsidRPr="009E0F3B">
        <w:rPr>
          <w:rFonts w:ascii="Cambria" w:hAnsi="Cambria"/>
          <w:sz w:val="24"/>
          <w:szCs w:val="24"/>
          <w:lang w:val="en-GB"/>
        </w:rPr>
        <w:t xml:space="preserve"> to their plans. </w:t>
      </w:r>
      <w:proofErr w:type="spellStart"/>
      <w:r w:rsidR="00B4282C" w:rsidRPr="009E0F3B">
        <w:rPr>
          <w:rFonts w:ascii="Cambria" w:hAnsi="Cambria"/>
          <w:sz w:val="24"/>
          <w:szCs w:val="24"/>
          <w:lang w:val="en-GB"/>
        </w:rPr>
        <w:t>Tör</w:t>
      </w:r>
      <w:r w:rsidRPr="009E0F3B">
        <w:rPr>
          <w:rFonts w:ascii="Cambria" w:hAnsi="Cambria"/>
          <w:sz w:val="24"/>
          <w:szCs w:val="24"/>
          <w:lang w:val="en-GB"/>
        </w:rPr>
        <w:t>ő</w:t>
      </w:r>
      <w:proofErr w:type="spellEnd"/>
      <w:r w:rsidRPr="009E0F3B">
        <w:rPr>
          <w:rFonts w:ascii="Cambria" w:hAnsi="Cambria"/>
          <w:sz w:val="24"/>
          <w:szCs w:val="24"/>
          <w:lang w:val="en-GB"/>
        </w:rPr>
        <w:t xml:space="preserve"> et al</w:t>
      </w:r>
      <w:r w:rsidR="00E54FEA" w:rsidRPr="009E0F3B">
        <w:rPr>
          <w:rFonts w:ascii="Cambria" w:hAnsi="Cambria"/>
          <w:sz w:val="24"/>
          <w:szCs w:val="24"/>
          <w:lang w:val="en-GB"/>
        </w:rPr>
        <w:t>.</w:t>
      </w:r>
      <w:r w:rsidRPr="009E0F3B">
        <w:rPr>
          <w:rFonts w:ascii="Cambria" w:hAnsi="Cambria"/>
          <w:sz w:val="24"/>
          <w:szCs w:val="24"/>
          <w:lang w:val="en-GB"/>
        </w:rPr>
        <w:t xml:space="preserve"> (2020) also include a sense of duty and obedience. </w:t>
      </w:r>
      <w:proofErr w:type="gramStart"/>
      <w:r w:rsidRPr="009E0F3B">
        <w:rPr>
          <w:rFonts w:ascii="Cambria" w:hAnsi="Cambria"/>
          <w:sz w:val="24"/>
          <w:szCs w:val="24"/>
          <w:lang w:val="en-GB"/>
        </w:rPr>
        <w:t>High-intensity</w:t>
      </w:r>
      <w:proofErr w:type="gramEnd"/>
      <w:r w:rsidRPr="009E0F3B">
        <w:rPr>
          <w:rFonts w:ascii="Cambria" w:hAnsi="Cambria"/>
          <w:sz w:val="24"/>
          <w:szCs w:val="24"/>
          <w:lang w:val="en-GB"/>
        </w:rPr>
        <w:t xml:space="preserve"> includes organization, commitment, persistence, and inhibition. The low-intensity ones include ineptitude, disorganization, carelessness, procrastination, indiscipline, disorderliness</w:t>
      </w:r>
      <w:r w:rsidR="00E54FEA" w:rsidRPr="009E0F3B">
        <w:rPr>
          <w:rFonts w:ascii="Cambria" w:hAnsi="Cambria"/>
          <w:sz w:val="24"/>
          <w:szCs w:val="24"/>
          <w:lang w:val="en-GB"/>
        </w:rPr>
        <w:t>, and disorganization (</w:t>
      </w:r>
      <w:proofErr w:type="spellStart"/>
      <w:r w:rsidR="00E54FEA" w:rsidRPr="009E0F3B">
        <w:rPr>
          <w:rFonts w:ascii="Cambria" w:hAnsi="Cambria"/>
          <w:sz w:val="24"/>
          <w:szCs w:val="24"/>
          <w:lang w:val="en-GB"/>
        </w:rPr>
        <w:t>Málovics</w:t>
      </w:r>
      <w:proofErr w:type="spellEnd"/>
      <w:r w:rsidR="00E54FEA" w:rsidRPr="009E0F3B">
        <w:rPr>
          <w:rFonts w:ascii="Cambria" w:hAnsi="Cambria"/>
          <w:sz w:val="24"/>
          <w:szCs w:val="24"/>
          <w:lang w:val="en-GB"/>
        </w:rPr>
        <w:t xml:space="preserve">, </w:t>
      </w:r>
      <w:r w:rsidRPr="009E0F3B">
        <w:rPr>
          <w:rFonts w:ascii="Cambria" w:hAnsi="Cambria"/>
          <w:sz w:val="24"/>
          <w:szCs w:val="24"/>
          <w:lang w:val="en-GB"/>
        </w:rPr>
        <w:t>2020).</w:t>
      </w:r>
    </w:p>
    <w:p w14:paraId="599EBF81" w14:textId="225CD05C" w:rsidR="00DE0F1B" w:rsidRPr="009E0F3B" w:rsidRDefault="00DE0F1B" w:rsidP="00DE0F1B">
      <w:pPr>
        <w:ind w:firstLine="708"/>
        <w:jc w:val="both"/>
        <w:rPr>
          <w:rFonts w:ascii="Cambria" w:hAnsi="Cambria"/>
          <w:sz w:val="24"/>
          <w:szCs w:val="24"/>
          <w:lang w:val="en-GB"/>
        </w:rPr>
      </w:pPr>
      <w:r w:rsidRPr="009E0F3B">
        <w:rPr>
          <w:rFonts w:ascii="Cambria" w:hAnsi="Cambria"/>
          <w:i/>
          <w:sz w:val="24"/>
          <w:szCs w:val="24"/>
          <w:lang w:val="en-GB"/>
        </w:rPr>
        <w:t>Emotional stab</w:t>
      </w:r>
      <w:r w:rsidR="005440F7" w:rsidRPr="009E0F3B">
        <w:rPr>
          <w:rFonts w:ascii="Cambria" w:hAnsi="Cambria"/>
          <w:i/>
          <w:sz w:val="24"/>
          <w:szCs w:val="24"/>
          <w:lang w:val="en-GB"/>
        </w:rPr>
        <w:t>ility</w:t>
      </w:r>
      <w:r w:rsidRPr="009E0F3B">
        <w:rPr>
          <w:rFonts w:ascii="Cambria" w:hAnsi="Cambria"/>
          <w:sz w:val="24"/>
          <w:szCs w:val="24"/>
          <w:lang w:val="en-GB"/>
        </w:rPr>
        <w:t xml:space="preserve"> is also referred to as neuroticism. A neurotic individual is less emotionally resilient and therefore more affected by negative situations. Such individuals are more prone to anxi</w:t>
      </w:r>
      <w:r w:rsidR="005440F7" w:rsidRPr="009E0F3B">
        <w:rPr>
          <w:rFonts w:ascii="Cambria" w:hAnsi="Cambria"/>
          <w:sz w:val="24"/>
          <w:szCs w:val="24"/>
          <w:lang w:val="en-GB"/>
        </w:rPr>
        <w:t>ety as well as pessimism. In</w:t>
      </w:r>
      <w:r w:rsidRPr="009E0F3B">
        <w:rPr>
          <w:rFonts w:ascii="Cambria" w:hAnsi="Cambria"/>
          <w:sz w:val="24"/>
          <w:szCs w:val="24"/>
          <w:lang w:val="en-GB"/>
        </w:rPr>
        <w:t xml:space="preserve"> case of these traits, we should not talk about emotional disorders, but about sensitivity to cues in the environment. Emotional stability involves the way a person perceives the world. High-intensity characteristics include worry, anger, shyness, vulnerability, mood swings, and noticing threats and grievances that a more stable person may not notice. Low-intensity traits include nonchalance, resilience, assertiveness, positivity, and calmness (</w:t>
      </w:r>
      <w:proofErr w:type="spellStart"/>
      <w:r w:rsidRPr="009E0F3B">
        <w:rPr>
          <w:rFonts w:ascii="Cambria" w:hAnsi="Cambria"/>
          <w:sz w:val="24"/>
          <w:szCs w:val="24"/>
          <w:lang w:val="en-GB"/>
        </w:rPr>
        <w:t>Málovics</w:t>
      </w:r>
      <w:proofErr w:type="spellEnd"/>
      <w:r w:rsidRPr="009E0F3B">
        <w:rPr>
          <w:rFonts w:ascii="Cambria" w:hAnsi="Cambria"/>
          <w:sz w:val="24"/>
          <w:szCs w:val="24"/>
          <w:lang w:val="en-GB"/>
        </w:rPr>
        <w:t xml:space="preserve"> 2020).</w:t>
      </w:r>
    </w:p>
    <w:p w14:paraId="7F57A0F9" w14:textId="200823E6" w:rsidR="00DE0F1B" w:rsidRPr="009E0F3B" w:rsidRDefault="00DE0F1B" w:rsidP="00DE0F1B">
      <w:pPr>
        <w:ind w:firstLine="708"/>
        <w:jc w:val="both"/>
        <w:rPr>
          <w:rFonts w:ascii="Cambria" w:hAnsi="Cambria"/>
          <w:sz w:val="24"/>
          <w:szCs w:val="24"/>
          <w:lang w:val="en-GB"/>
        </w:rPr>
      </w:pPr>
      <w:r w:rsidRPr="009E0F3B">
        <w:rPr>
          <w:rFonts w:ascii="Cambria" w:hAnsi="Cambria"/>
          <w:i/>
          <w:sz w:val="24"/>
          <w:szCs w:val="24"/>
          <w:lang w:val="en-GB"/>
        </w:rPr>
        <w:t>Openness</w:t>
      </w:r>
      <w:r w:rsidRPr="009E0F3B">
        <w:rPr>
          <w:rFonts w:ascii="Cambria" w:hAnsi="Cambria"/>
          <w:sz w:val="24"/>
          <w:szCs w:val="24"/>
          <w:lang w:val="en-GB"/>
        </w:rPr>
        <w:t xml:space="preserve"> </w:t>
      </w:r>
      <w:r w:rsidR="005440F7" w:rsidRPr="009E0F3B">
        <w:rPr>
          <w:rFonts w:ascii="Cambria" w:hAnsi="Cambria"/>
          <w:sz w:val="24"/>
          <w:szCs w:val="24"/>
          <w:lang w:val="en-GB"/>
        </w:rPr>
        <w:t>fundamentally</w:t>
      </w:r>
      <w:r w:rsidRPr="009E0F3B">
        <w:rPr>
          <w:rFonts w:ascii="Cambria" w:hAnsi="Cambria"/>
          <w:sz w:val="24"/>
          <w:szCs w:val="24"/>
          <w:lang w:val="en-GB"/>
        </w:rPr>
        <w:t xml:space="preserve"> refers to how open an individual is to new things. Individuals who are open to new experiences tend to be imaginative and creative, as well as open to new ideas, relationships</w:t>
      </w:r>
      <w:r w:rsidR="005440F7" w:rsidRPr="009E0F3B">
        <w:rPr>
          <w:rFonts w:ascii="Cambria" w:hAnsi="Cambria"/>
          <w:sz w:val="24"/>
          <w:szCs w:val="24"/>
          <w:lang w:val="en-GB"/>
        </w:rPr>
        <w:t>,</w:t>
      </w:r>
      <w:r w:rsidRPr="009E0F3B">
        <w:rPr>
          <w:rFonts w:ascii="Cambria" w:hAnsi="Cambria"/>
          <w:sz w:val="24"/>
          <w:szCs w:val="24"/>
          <w:lang w:val="en-GB"/>
        </w:rPr>
        <w:t xml:space="preserve"> and environments. This trait is closely linked to creativity (</w:t>
      </w:r>
      <w:proofErr w:type="spellStart"/>
      <w:r w:rsidRPr="009E0F3B">
        <w:rPr>
          <w:rFonts w:ascii="Cambria" w:hAnsi="Cambria"/>
          <w:sz w:val="24"/>
          <w:szCs w:val="24"/>
          <w:lang w:val="en-GB"/>
        </w:rPr>
        <w:t>Málovics</w:t>
      </w:r>
      <w:proofErr w:type="spellEnd"/>
      <w:r w:rsidR="005440F7" w:rsidRPr="009E0F3B">
        <w:rPr>
          <w:rFonts w:ascii="Cambria" w:hAnsi="Cambria"/>
          <w:sz w:val="24"/>
          <w:szCs w:val="24"/>
          <w:lang w:val="en-GB"/>
        </w:rPr>
        <w:t>,</w:t>
      </w:r>
      <w:r w:rsidRPr="009E0F3B">
        <w:rPr>
          <w:rFonts w:ascii="Cambria" w:hAnsi="Cambria"/>
          <w:sz w:val="24"/>
          <w:szCs w:val="24"/>
          <w:lang w:val="en-GB"/>
        </w:rPr>
        <w:t xml:space="preserve"> 2020). </w:t>
      </w:r>
      <w:proofErr w:type="spellStart"/>
      <w:r w:rsidR="005440F7" w:rsidRPr="009E0F3B">
        <w:rPr>
          <w:rFonts w:ascii="Cambria" w:hAnsi="Cambria"/>
          <w:sz w:val="24"/>
          <w:szCs w:val="24"/>
          <w:lang w:val="en-GB"/>
        </w:rPr>
        <w:t>Openess</w:t>
      </w:r>
      <w:proofErr w:type="spellEnd"/>
      <w:r w:rsidRPr="009E0F3B">
        <w:rPr>
          <w:rFonts w:ascii="Cambria" w:hAnsi="Cambria"/>
          <w:sz w:val="24"/>
          <w:szCs w:val="24"/>
          <w:lang w:val="en-GB"/>
        </w:rPr>
        <w:t xml:space="preserve"> is considered the most controversial</w:t>
      </w:r>
      <w:r w:rsidR="005440F7" w:rsidRPr="009E0F3B">
        <w:rPr>
          <w:rFonts w:ascii="Cambria" w:hAnsi="Cambria"/>
          <w:sz w:val="24"/>
          <w:szCs w:val="24"/>
          <w:lang w:val="en-GB"/>
        </w:rPr>
        <w:t xml:space="preserve"> of the five factors</w:t>
      </w:r>
      <w:r w:rsidRPr="009E0F3B">
        <w:rPr>
          <w:rFonts w:ascii="Cambria" w:hAnsi="Cambria"/>
          <w:sz w:val="24"/>
          <w:szCs w:val="24"/>
          <w:lang w:val="en-GB"/>
        </w:rPr>
        <w:t xml:space="preserve">, as experts disagree on which </w:t>
      </w:r>
      <w:r w:rsidR="005440F7" w:rsidRPr="009E0F3B">
        <w:rPr>
          <w:rFonts w:ascii="Cambria" w:hAnsi="Cambria"/>
          <w:sz w:val="24"/>
          <w:szCs w:val="24"/>
          <w:lang w:val="en-GB"/>
        </w:rPr>
        <w:t>characteristics</w:t>
      </w:r>
      <w:r w:rsidRPr="009E0F3B">
        <w:rPr>
          <w:rFonts w:ascii="Cambria" w:hAnsi="Cambria"/>
          <w:sz w:val="24"/>
          <w:szCs w:val="24"/>
          <w:lang w:val="en-GB"/>
        </w:rPr>
        <w:t xml:space="preserve"> are included. </w:t>
      </w:r>
      <w:proofErr w:type="spellStart"/>
      <w:r w:rsidRPr="009E0F3B">
        <w:rPr>
          <w:rFonts w:ascii="Cambria" w:hAnsi="Cambria"/>
          <w:sz w:val="24"/>
          <w:szCs w:val="24"/>
          <w:lang w:val="en-GB"/>
        </w:rPr>
        <w:t>Törő</w:t>
      </w:r>
      <w:proofErr w:type="spellEnd"/>
      <w:r w:rsidRPr="009E0F3B">
        <w:rPr>
          <w:rFonts w:ascii="Cambria" w:hAnsi="Cambria"/>
          <w:sz w:val="24"/>
          <w:szCs w:val="24"/>
          <w:lang w:val="en-GB"/>
        </w:rPr>
        <w:t xml:space="preserve"> et al. (2020) include intellectual curiosity and sophistication in addition to those mentioned so far. High-intensity traits include curiosity, resourcefulness, </w:t>
      </w:r>
      <w:proofErr w:type="gramStart"/>
      <w:r w:rsidRPr="009E0F3B">
        <w:rPr>
          <w:rFonts w:ascii="Cambria" w:hAnsi="Cambria"/>
          <w:sz w:val="24"/>
          <w:szCs w:val="24"/>
          <w:lang w:val="en-GB"/>
        </w:rPr>
        <w:t>openness</w:t>
      </w:r>
      <w:proofErr w:type="gramEnd"/>
      <w:r w:rsidRPr="009E0F3B">
        <w:rPr>
          <w:rFonts w:ascii="Cambria" w:hAnsi="Cambria"/>
          <w:sz w:val="24"/>
          <w:szCs w:val="24"/>
          <w:lang w:val="en-GB"/>
        </w:rPr>
        <w:t xml:space="preserve"> and unusualness. Low-intensity indicators include predictability, love of tradition, routine, and stability (</w:t>
      </w:r>
      <w:proofErr w:type="spellStart"/>
      <w:r w:rsidRPr="009E0F3B">
        <w:rPr>
          <w:rFonts w:ascii="Cambria" w:hAnsi="Cambria"/>
          <w:sz w:val="24"/>
          <w:szCs w:val="24"/>
          <w:lang w:val="en-GB"/>
        </w:rPr>
        <w:t>Málovics</w:t>
      </w:r>
      <w:proofErr w:type="spellEnd"/>
      <w:r w:rsidR="005440F7" w:rsidRPr="009E0F3B">
        <w:rPr>
          <w:rFonts w:ascii="Cambria" w:hAnsi="Cambria"/>
          <w:sz w:val="24"/>
          <w:szCs w:val="24"/>
          <w:lang w:val="en-GB"/>
        </w:rPr>
        <w:t>,</w:t>
      </w:r>
      <w:r w:rsidRPr="009E0F3B">
        <w:rPr>
          <w:rFonts w:ascii="Cambria" w:hAnsi="Cambria"/>
          <w:sz w:val="24"/>
          <w:szCs w:val="24"/>
          <w:lang w:val="en-GB"/>
        </w:rPr>
        <w:t xml:space="preserve"> 2020).</w:t>
      </w:r>
    </w:p>
    <w:p w14:paraId="7355FE5A" w14:textId="450BADB1" w:rsidR="00120FB0" w:rsidRPr="009E0F3B" w:rsidRDefault="00120FB0" w:rsidP="00DE0F1B">
      <w:pPr>
        <w:ind w:firstLine="708"/>
        <w:jc w:val="both"/>
        <w:rPr>
          <w:rFonts w:ascii="Cambria" w:hAnsi="Cambria"/>
          <w:sz w:val="24"/>
          <w:szCs w:val="24"/>
          <w:lang w:val="en-GB"/>
        </w:rPr>
      </w:pPr>
    </w:p>
    <w:p w14:paraId="3AB75267" w14:textId="4E4B609A" w:rsidR="00120FB0" w:rsidRPr="009E0F3B" w:rsidRDefault="007456AF" w:rsidP="00120FB0">
      <w:pPr>
        <w:jc w:val="both"/>
        <w:rPr>
          <w:rFonts w:ascii="Cambria" w:hAnsi="Cambria"/>
          <w:b/>
          <w:sz w:val="24"/>
          <w:szCs w:val="24"/>
          <w:lang w:val="en-GB"/>
        </w:rPr>
      </w:pPr>
      <w:r w:rsidRPr="009E0F3B">
        <w:rPr>
          <w:rFonts w:ascii="Cambria" w:hAnsi="Cambria"/>
          <w:b/>
          <w:sz w:val="24"/>
          <w:szCs w:val="24"/>
          <w:lang w:val="en-GB"/>
        </w:rPr>
        <w:lastRenderedPageBreak/>
        <w:t>2</w:t>
      </w:r>
      <w:r w:rsidR="00120FB0" w:rsidRPr="009E0F3B">
        <w:rPr>
          <w:rFonts w:ascii="Cambria" w:hAnsi="Cambria"/>
          <w:b/>
          <w:sz w:val="24"/>
          <w:szCs w:val="24"/>
          <w:lang w:val="en-GB"/>
        </w:rPr>
        <w:t>. Research</w:t>
      </w:r>
    </w:p>
    <w:p w14:paraId="2BE930D8" w14:textId="21416921" w:rsidR="007456AF" w:rsidRPr="009E0F3B" w:rsidRDefault="007456AF" w:rsidP="00A00AB9">
      <w:pPr>
        <w:jc w:val="both"/>
        <w:rPr>
          <w:rFonts w:ascii="Cambria" w:hAnsi="Cambria"/>
          <w:sz w:val="24"/>
          <w:szCs w:val="24"/>
          <w:lang w:val="en-GB"/>
        </w:rPr>
      </w:pPr>
      <w:r w:rsidRPr="009E0F3B">
        <w:rPr>
          <w:rFonts w:ascii="Cambria" w:hAnsi="Cambria"/>
          <w:sz w:val="24"/>
          <w:szCs w:val="24"/>
          <w:lang w:val="en-GB"/>
        </w:rPr>
        <w:t xml:space="preserve">The main aim of the study is to </w:t>
      </w:r>
      <w:r w:rsidR="00B4282C" w:rsidRPr="009E0F3B">
        <w:rPr>
          <w:rFonts w:ascii="Cambria" w:hAnsi="Cambria"/>
          <w:sz w:val="24"/>
          <w:szCs w:val="24"/>
          <w:lang w:val="en-GB"/>
        </w:rPr>
        <w:t>examine the perceptions</w:t>
      </w:r>
      <w:r w:rsidRPr="009E0F3B">
        <w:rPr>
          <w:rFonts w:ascii="Cambria" w:hAnsi="Cambria"/>
          <w:sz w:val="24"/>
          <w:szCs w:val="24"/>
          <w:lang w:val="en-GB"/>
        </w:rPr>
        <w:t xml:space="preserve"> of Carpathian Basin university students studying in Hungarian</w:t>
      </w:r>
      <w:r w:rsidR="00B4282C" w:rsidRPr="009E0F3B">
        <w:rPr>
          <w:rFonts w:ascii="Cambria" w:hAnsi="Cambria"/>
          <w:sz w:val="24"/>
          <w:szCs w:val="24"/>
          <w:lang w:val="en-GB"/>
        </w:rPr>
        <w:t xml:space="preserve"> language</w:t>
      </w:r>
      <w:r w:rsidRPr="009E0F3B">
        <w:rPr>
          <w:rFonts w:ascii="Cambria" w:hAnsi="Cambria"/>
          <w:sz w:val="24"/>
          <w:szCs w:val="24"/>
          <w:lang w:val="en-GB"/>
        </w:rPr>
        <w:t xml:space="preserve"> on ideal teachers, on authority and its loss, and to compare whether there are differences in the perceptions on each of the background variables. Considering the above objectives, the following questions were formulated to guide us through our research:</w:t>
      </w:r>
    </w:p>
    <w:p w14:paraId="611CBEDF" w14:textId="51536660" w:rsidR="007456AF" w:rsidRPr="009E0F3B" w:rsidRDefault="007456AF" w:rsidP="007456AF">
      <w:pPr>
        <w:ind w:firstLine="708"/>
        <w:jc w:val="both"/>
        <w:rPr>
          <w:rFonts w:ascii="Cambria" w:hAnsi="Cambria"/>
          <w:sz w:val="24"/>
          <w:szCs w:val="24"/>
          <w:lang w:val="en-GB"/>
        </w:rPr>
      </w:pPr>
      <w:r w:rsidRPr="009E0F3B">
        <w:rPr>
          <w:rFonts w:ascii="Cambria" w:hAnsi="Cambria"/>
          <w:sz w:val="24"/>
          <w:szCs w:val="24"/>
          <w:lang w:val="en-GB"/>
        </w:rPr>
        <w:t xml:space="preserve">RQ1: What characteristics do university students in the Carpathian Basin consider to be the characteristics of a respected, authoritative teacher? </w:t>
      </w:r>
    </w:p>
    <w:p w14:paraId="26D358CA" w14:textId="18A1B90E" w:rsidR="007456AF" w:rsidRPr="009E0F3B" w:rsidRDefault="007456AF" w:rsidP="007456AF">
      <w:pPr>
        <w:tabs>
          <w:tab w:val="left" w:pos="567"/>
        </w:tabs>
        <w:ind w:firstLine="708"/>
        <w:rPr>
          <w:rFonts w:ascii="Cambria" w:hAnsi="Cambria"/>
          <w:sz w:val="24"/>
          <w:szCs w:val="24"/>
          <w:lang w:val="en-GB"/>
        </w:rPr>
      </w:pPr>
      <w:r w:rsidRPr="009E0F3B">
        <w:rPr>
          <w:rFonts w:ascii="Cambria" w:hAnsi="Cambria"/>
          <w:sz w:val="24"/>
          <w:szCs w:val="24"/>
          <w:lang w:val="en-GB"/>
        </w:rPr>
        <w:t>RQ2:  What are the characteristics that contribute most to a teacher losing authority according to the perception of Carpathian Basin university students?</w:t>
      </w:r>
    </w:p>
    <w:p w14:paraId="150206D1" w14:textId="7ED7DC95" w:rsidR="007456AF" w:rsidRPr="009E0F3B" w:rsidRDefault="007456AF" w:rsidP="007456AF">
      <w:pPr>
        <w:ind w:firstLine="708"/>
        <w:jc w:val="both"/>
        <w:rPr>
          <w:rFonts w:ascii="Cambria" w:hAnsi="Cambria"/>
          <w:sz w:val="24"/>
          <w:szCs w:val="24"/>
          <w:lang w:val="en-GB"/>
        </w:rPr>
      </w:pPr>
      <w:r w:rsidRPr="009E0F3B">
        <w:rPr>
          <w:rFonts w:ascii="Cambria" w:hAnsi="Cambria"/>
          <w:sz w:val="24"/>
          <w:szCs w:val="24"/>
          <w:lang w:val="en-GB"/>
        </w:rPr>
        <w:t xml:space="preserve">RQ3: </w:t>
      </w:r>
      <w:r w:rsidR="00B4282C" w:rsidRPr="009E0F3B">
        <w:rPr>
          <w:rFonts w:ascii="Cambria" w:hAnsi="Cambria"/>
          <w:sz w:val="24"/>
          <w:szCs w:val="24"/>
          <w:lang w:val="en-GB"/>
        </w:rPr>
        <w:t>What personality traits of teachers, as perceived by university students in the Carpathian Basin, are least likely to be considered authoritative and are most likely to be incorporated into the Big Five model?</w:t>
      </w:r>
    </w:p>
    <w:p w14:paraId="39872D5B" w14:textId="1BFE90F2" w:rsidR="00611279" w:rsidRPr="009E0F3B" w:rsidRDefault="00AB5505" w:rsidP="00B4282C">
      <w:pPr>
        <w:ind w:firstLine="708"/>
        <w:jc w:val="both"/>
        <w:rPr>
          <w:rFonts w:ascii="Cambria" w:hAnsi="Cambria"/>
          <w:sz w:val="24"/>
          <w:szCs w:val="24"/>
          <w:lang w:val="en-GB"/>
        </w:rPr>
      </w:pPr>
      <w:proofErr w:type="gramStart"/>
      <w:r w:rsidRPr="009E0F3B">
        <w:rPr>
          <w:rFonts w:ascii="Cambria" w:hAnsi="Cambria"/>
          <w:sz w:val="24"/>
          <w:szCs w:val="24"/>
          <w:lang w:val="en-GB"/>
        </w:rPr>
        <w:t>In order to</w:t>
      </w:r>
      <w:proofErr w:type="gramEnd"/>
      <w:r w:rsidRPr="009E0F3B">
        <w:rPr>
          <w:rFonts w:ascii="Cambria" w:hAnsi="Cambria"/>
          <w:sz w:val="24"/>
          <w:szCs w:val="24"/>
          <w:lang w:val="en-GB"/>
        </w:rPr>
        <w:t xml:space="preserve"> fulfil the aim of our study, a questionnaire was selected as the method of data collection. A total of 1037 students completed the questionnaire, which was voluntary and anonymous. The questionnaire was presented in Hungarian language from March 1 to March 13, </w:t>
      </w:r>
      <w:proofErr w:type="gramStart"/>
      <w:r w:rsidRPr="009E0F3B">
        <w:rPr>
          <w:rFonts w:ascii="Cambria" w:hAnsi="Cambria"/>
          <w:sz w:val="24"/>
          <w:szCs w:val="24"/>
          <w:lang w:val="en-GB"/>
        </w:rPr>
        <w:t>2024</w:t>
      </w:r>
      <w:proofErr w:type="gramEnd"/>
      <w:r w:rsidRPr="009E0F3B">
        <w:rPr>
          <w:rFonts w:ascii="Cambria" w:hAnsi="Cambria"/>
          <w:sz w:val="24"/>
          <w:szCs w:val="24"/>
          <w:lang w:val="en-GB"/>
        </w:rPr>
        <w:t xml:space="preserve"> and was distributed to several universities in the Carpathian basin, out of which five collected a sufficient amount of responses for us to be able to compare the received results. These were the J. Selye University in Slovakia, the </w:t>
      </w:r>
      <w:proofErr w:type="spellStart"/>
      <w:r w:rsidRPr="009E0F3B">
        <w:rPr>
          <w:rFonts w:ascii="Cambria" w:hAnsi="Cambria"/>
          <w:sz w:val="24"/>
          <w:szCs w:val="24"/>
          <w:lang w:val="en-GB"/>
        </w:rPr>
        <w:t>Eszterházy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Károly</w:t>
      </w:r>
      <w:proofErr w:type="spellEnd"/>
      <w:r w:rsidRPr="009E0F3B">
        <w:rPr>
          <w:rFonts w:ascii="Cambria" w:hAnsi="Cambria"/>
          <w:sz w:val="24"/>
          <w:szCs w:val="24"/>
          <w:lang w:val="en-GB"/>
        </w:rPr>
        <w:t xml:space="preserve"> Catholic University in Eger</w:t>
      </w:r>
      <w:r w:rsidR="00611279" w:rsidRPr="009E0F3B">
        <w:rPr>
          <w:rFonts w:ascii="Cambria" w:hAnsi="Cambria"/>
          <w:sz w:val="24"/>
          <w:szCs w:val="24"/>
          <w:lang w:val="en-GB"/>
        </w:rPr>
        <w:t>, Hungary,</w:t>
      </w:r>
      <w:r w:rsidRPr="009E0F3B">
        <w:rPr>
          <w:rFonts w:ascii="Cambria" w:hAnsi="Cambria"/>
          <w:sz w:val="24"/>
          <w:szCs w:val="24"/>
          <w:lang w:val="en-GB"/>
        </w:rPr>
        <w:t xml:space="preserve"> the </w:t>
      </w:r>
      <w:proofErr w:type="spellStart"/>
      <w:r w:rsidRPr="009E0F3B">
        <w:rPr>
          <w:rFonts w:ascii="Cambria" w:hAnsi="Cambria"/>
          <w:sz w:val="24"/>
          <w:szCs w:val="24"/>
          <w:lang w:val="en-GB"/>
        </w:rPr>
        <w:t>Partium</w:t>
      </w:r>
      <w:proofErr w:type="spellEnd"/>
      <w:r w:rsidRPr="009E0F3B">
        <w:rPr>
          <w:rFonts w:ascii="Cambria" w:hAnsi="Cambria"/>
          <w:sz w:val="24"/>
          <w:szCs w:val="24"/>
          <w:lang w:val="en-GB"/>
        </w:rPr>
        <w:t xml:space="preserve"> Christian University of Oradea</w:t>
      </w:r>
      <w:r w:rsidR="00611279" w:rsidRPr="009E0F3B">
        <w:rPr>
          <w:rFonts w:ascii="Cambria" w:hAnsi="Cambria"/>
          <w:sz w:val="24"/>
          <w:szCs w:val="24"/>
          <w:lang w:val="en-GB"/>
        </w:rPr>
        <w:t xml:space="preserve"> in Romania, </w:t>
      </w:r>
      <w:r w:rsidRPr="009E0F3B">
        <w:rPr>
          <w:rFonts w:ascii="Cambria" w:hAnsi="Cambria"/>
          <w:sz w:val="24"/>
          <w:szCs w:val="24"/>
          <w:lang w:val="en-GB"/>
        </w:rPr>
        <w:t xml:space="preserve">the Ferenc </w:t>
      </w:r>
      <w:proofErr w:type="spellStart"/>
      <w:r w:rsidRPr="009E0F3B">
        <w:rPr>
          <w:rFonts w:ascii="Cambria" w:hAnsi="Cambria"/>
          <w:sz w:val="24"/>
          <w:szCs w:val="24"/>
          <w:lang w:val="en-GB"/>
        </w:rPr>
        <w:t>Rákóczi</w:t>
      </w:r>
      <w:proofErr w:type="spellEnd"/>
      <w:r w:rsidRPr="009E0F3B">
        <w:rPr>
          <w:rFonts w:ascii="Cambria" w:hAnsi="Cambria"/>
          <w:sz w:val="24"/>
          <w:szCs w:val="24"/>
          <w:lang w:val="en-GB"/>
        </w:rPr>
        <w:t xml:space="preserve"> II Transcarpathian Hungarian College in </w:t>
      </w:r>
      <w:proofErr w:type="spellStart"/>
      <w:r w:rsidRPr="009E0F3B">
        <w:rPr>
          <w:rFonts w:ascii="Cambria" w:hAnsi="Cambria"/>
          <w:sz w:val="24"/>
          <w:szCs w:val="24"/>
          <w:lang w:val="en-GB"/>
        </w:rPr>
        <w:t>Berehovo</w:t>
      </w:r>
      <w:proofErr w:type="spellEnd"/>
      <w:r w:rsidR="00611279" w:rsidRPr="009E0F3B">
        <w:rPr>
          <w:rFonts w:ascii="Cambria" w:hAnsi="Cambria"/>
          <w:sz w:val="24"/>
          <w:szCs w:val="24"/>
          <w:lang w:val="en-GB"/>
        </w:rPr>
        <w:t xml:space="preserve">, Ukraine, and the </w:t>
      </w:r>
      <w:r w:rsidRPr="009E0F3B">
        <w:rPr>
          <w:rFonts w:ascii="Cambria" w:hAnsi="Cambria"/>
          <w:sz w:val="24"/>
          <w:szCs w:val="24"/>
          <w:lang w:val="en-GB"/>
        </w:rPr>
        <w:t>University of Novi Sad</w:t>
      </w:r>
      <w:r w:rsidR="00611279" w:rsidRPr="009E0F3B">
        <w:rPr>
          <w:rFonts w:ascii="Cambria" w:hAnsi="Cambria"/>
          <w:sz w:val="24"/>
          <w:szCs w:val="24"/>
          <w:lang w:val="en-GB"/>
        </w:rPr>
        <w:t xml:space="preserve">, Serbia. </w:t>
      </w:r>
      <w:r w:rsidRPr="009E0F3B">
        <w:rPr>
          <w:rFonts w:ascii="Cambria" w:hAnsi="Cambria"/>
          <w:sz w:val="24"/>
          <w:szCs w:val="24"/>
          <w:lang w:val="en-GB"/>
        </w:rPr>
        <w:t xml:space="preserve">The questionnaire contained 14 questions in total. </w:t>
      </w:r>
      <w:r w:rsidR="00B4282C" w:rsidRPr="009E0F3B">
        <w:rPr>
          <w:rFonts w:ascii="Cambria" w:hAnsi="Cambria"/>
          <w:sz w:val="24"/>
          <w:szCs w:val="24"/>
          <w:lang w:val="en-GB"/>
        </w:rPr>
        <w:t xml:space="preserve"> </w:t>
      </w:r>
      <w:r w:rsidR="00611279" w:rsidRPr="009E0F3B">
        <w:rPr>
          <w:rFonts w:ascii="Cambria" w:hAnsi="Cambria"/>
          <w:sz w:val="24"/>
          <w:szCs w:val="24"/>
          <w:lang w:val="en-GB"/>
        </w:rPr>
        <w:t xml:space="preserve">As for the participants of our study, the demographic information is provided as follows. </w:t>
      </w:r>
    </w:p>
    <w:p w14:paraId="7255F9A7" w14:textId="745307DA" w:rsidR="00611279" w:rsidRPr="009E0F3B" w:rsidRDefault="00B4282C" w:rsidP="00611279">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sex</w:t>
      </w:r>
      <w:r w:rsidR="00611279" w:rsidRPr="009E0F3B">
        <w:rPr>
          <w:rFonts w:ascii="Cambria" w:hAnsi="Cambria"/>
          <w:sz w:val="24"/>
          <w:szCs w:val="24"/>
          <w:lang w:val="en-GB"/>
        </w:rPr>
        <w:t>: male - 32.8% (340 participants); female - 67.2% (697 participants),</w:t>
      </w:r>
    </w:p>
    <w:p w14:paraId="77E248D9" w14:textId="77777777" w:rsidR="00611279" w:rsidRPr="009E0F3B" w:rsidRDefault="00611279" w:rsidP="00611279">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age: 18-21 years old - 44% (456 participants); 22-25 years old - 31.1% (323 participants); 26-35 years old - 13.5% (140 participants); 36-50 years old - 10.2% (106 participants); over 50 years old - 1.2% (12 participants),</w:t>
      </w:r>
    </w:p>
    <w:p w14:paraId="165065F1" w14:textId="77777777" w:rsidR="004C3391" w:rsidRPr="009E0F3B" w:rsidRDefault="00611279" w:rsidP="004C3391">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 xml:space="preserve">University: J. Selye University, </w:t>
      </w:r>
      <w:proofErr w:type="spellStart"/>
      <w:r w:rsidRPr="009E0F3B">
        <w:rPr>
          <w:rFonts w:ascii="Cambria" w:hAnsi="Cambria"/>
          <w:sz w:val="24"/>
          <w:szCs w:val="24"/>
          <w:lang w:val="en-GB"/>
        </w:rPr>
        <w:t>Komarno</w:t>
      </w:r>
      <w:proofErr w:type="spellEnd"/>
      <w:r w:rsidRPr="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r>
        <w:t>Eszterházy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Károly</w:t>
      </w:r>
      <w:proofErr w:type="spellEnd"/>
      <w:r w:rsidRPr="009E0F3B">
        <w:rPr>
          <w:rFonts w:ascii="Cambria" w:hAnsi="Cambria"/>
          <w:sz w:val="24"/>
          <w:szCs w:val="24"/>
          <w:lang w:val="en-GB"/>
        </w:rPr>
        <w:t xml:space="preserve"> Catholic Universi</w:t>
      </w:r>
      <w:r w:rsidR="004C3391" w:rsidRPr="009E0F3B">
        <w:rPr>
          <w:rFonts w:ascii="Cambria" w:hAnsi="Cambria"/>
          <w:sz w:val="24"/>
          <w:szCs w:val="24"/>
          <w:lang w:val="en-GB"/>
        </w:rPr>
        <w:t>ty, Eger, Hungary - 12.6% (131 participants</w:t>
      </w:r>
      <w:r w:rsidRPr="009E0F3B">
        <w:rPr>
          <w:rFonts w:ascii="Cambria" w:hAnsi="Cambria"/>
          <w:sz w:val="24"/>
          <w:szCs w:val="24"/>
          <w:lang w:val="en-GB"/>
        </w:rPr>
        <w:t xml:space="preserve">); </w:t>
      </w:r>
      <w:proofErr w:type="spellStart"/>
      <w:r w:rsidRPr="009E0F3B">
        <w:rPr>
          <w:rFonts w:ascii="Cambria" w:hAnsi="Cambria"/>
          <w:sz w:val="24"/>
          <w:szCs w:val="24"/>
          <w:lang w:val="en-GB"/>
        </w:rPr>
        <w:t>Partium</w:t>
      </w:r>
      <w:proofErr w:type="spellEnd"/>
      <w:r w:rsidRPr="009E0F3B">
        <w:rPr>
          <w:rFonts w:ascii="Cambria" w:hAnsi="Cambria"/>
          <w:sz w:val="24"/>
          <w:szCs w:val="24"/>
          <w:lang w:val="en-GB"/>
        </w:rPr>
        <w:t xml:space="preserve"> Christian University, Oradea, Romania - 9.9% (103 </w:t>
      </w:r>
      <w:r w:rsidR="004C3391" w:rsidRPr="009E0F3B">
        <w:rPr>
          <w:rFonts w:ascii="Cambria" w:hAnsi="Cambria"/>
          <w:sz w:val="24"/>
          <w:szCs w:val="24"/>
          <w:lang w:val="en-GB"/>
        </w:rPr>
        <w:t>participants</w:t>
      </w:r>
      <w:r w:rsidRPr="009E0F3B">
        <w:rPr>
          <w:rFonts w:ascii="Cambria" w:hAnsi="Cambria"/>
          <w:sz w:val="24"/>
          <w:szCs w:val="24"/>
          <w:lang w:val="en-GB"/>
        </w:rPr>
        <w:t xml:space="preserve">); Ferenc </w:t>
      </w:r>
      <w:proofErr w:type="spellStart"/>
      <w:r w:rsidRPr="009E0F3B">
        <w:rPr>
          <w:rFonts w:ascii="Cambria" w:hAnsi="Cambria"/>
          <w:sz w:val="24"/>
          <w:szCs w:val="24"/>
          <w:lang w:val="en-GB"/>
        </w:rPr>
        <w:t>Rákóczi</w:t>
      </w:r>
      <w:proofErr w:type="spellEnd"/>
      <w:r w:rsidRPr="009E0F3B">
        <w:rPr>
          <w:rFonts w:ascii="Cambria" w:hAnsi="Cambria"/>
          <w:sz w:val="24"/>
          <w:szCs w:val="24"/>
          <w:lang w:val="en-GB"/>
        </w:rPr>
        <w:t xml:space="preserve"> II Transcarpathian Hungarian College, </w:t>
      </w:r>
      <w:proofErr w:type="spellStart"/>
      <w:r w:rsidRPr="009E0F3B">
        <w:rPr>
          <w:rFonts w:ascii="Cambria" w:hAnsi="Cambria"/>
          <w:sz w:val="24"/>
          <w:szCs w:val="24"/>
          <w:lang w:val="en-GB"/>
        </w:rPr>
        <w:t>Berehovo</w:t>
      </w:r>
      <w:proofErr w:type="spellEnd"/>
      <w:r w:rsidRPr="009E0F3B">
        <w:rPr>
          <w:rFonts w:ascii="Cambria" w:hAnsi="Cambria"/>
          <w:sz w:val="24"/>
          <w:szCs w:val="24"/>
          <w:lang w:val="en-GB"/>
        </w:rPr>
        <w:t xml:space="preserve">, Ukraine - 7.7% (80 </w:t>
      </w:r>
      <w:r w:rsidR="004C3391" w:rsidRPr="009E0F3B">
        <w:rPr>
          <w:rFonts w:ascii="Cambria" w:hAnsi="Cambria"/>
          <w:sz w:val="24"/>
          <w:szCs w:val="24"/>
          <w:lang w:val="en-GB"/>
        </w:rPr>
        <w:t>participants</w:t>
      </w:r>
      <w:r w:rsidRPr="009E0F3B">
        <w:rPr>
          <w:rFonts w:ascii="Cambria" w:hAnsi="Cambria"/>
          <w:sz w:val="24"/>
          <w:szCs w:val="24"/>
          <w:lang w:val="en-GB"/>
        </w:rPr>
        <w:t xml:space="preserve">); University of Novi Sad, Novi Sad, Serbia - 8.9% (92 </w:t>
      </w:r>
      <w:r w:rsidR="004C3391" w:rsidRPr="009E0F3B">
        <w:rPr>
          <w:rFonts w:ascii="Cambria" w:hAnsi="Cambria"/>
          <w:sz w:val="24"/>
          <w:szCs w:val="24"/>
          <w:lang w:val="en-GB"/>
        </w:rPr>
        <w:t>participants</w:t>
      </w:r>
      <w:r w:rsidRPr="009E0F3B">
        <w:rPr>
          <w:rFonts w:ascii="Cambria" w:hAnsi="Cambria"/>
          <w:sz w:val="24"/>
          <w:szCs w:val="24"/>
          <w:lang w:val="en-GB"/>
        </w:rPr>
        <w:t>),</w:t>
      </w:r>
    </w:p>
    <w:p w14:paraId="4F96056F" w14:textId="77777777" w:rsidR="004C3391" w:rsidRPr="009E0F3B" w:rsidRDefault="00611279" w:rsidP="004C3391">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Type of education: full-time - 73.5% (762 students); part-time - 26.5% (275 students),</w:t>
      </w:r>
    </w:p>
    <w:p w14:paraId="4A22A351" w14:textId="77777777" w:rsidR="004C3391" w:rsidRPr="009E0F3B" w:rsidRDefault="00611279" w:rsidP="004C3391">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 xml:space="preserve">type of residence: capital city - 3.4% (35 </w:t>
      </w:r>
      <w:r w:rsidR="004C3391" w:rsidRPr="009E0F3B">
        <w:rPr>
          <w:rFonts w:ascii="Cambria" w:hAnsi="Cambria"/>
          <w:sz w:val="24"/>
          <w:szCs w:val="24"/>
          <w:lang w:val="en-GB"/>
        </w:rPr>
        <w:t>participants</w:t>
      </w:r>
      <w:r w:rsidRPr="009E0F3B">
        <w:rPr>
          <w:rFonts w:ascii="Cambria" w:hAnsi="Cambria"/>
          <w:sz w:val="24"/>
          <w:szCs w:val="24"/>
          <w:lang w:val="en-GB"/>
        </w:rPr>
        <w:t xml:space="preserve">); big city - 11.9% (123 </w:t>
      </w:r>
      <w:r w:rsidR="004C3391" w:rsidRPr="009E0F3B">
        <w:rPr>
          <w:rFonts w:ascii="Cambria" w:hAnsi="Cambria"/>
          <w:sz w:val="24"/>
          <w:szCs w:val="24"/>
          <w:lang w:val="en-GB"/>
        </w:rPr>
        <w:t>participants</w:t>
      </w:r>
      <w:r w:rsidRPr="009E0F3B">
        <w:rPr>
          <w:rFonts w:ascii="Cambria" w:hAnsi="Cambria"/>
          <w:sz w:val="24"/>
          <w:szCs w:val="24"/>
          <w:lang w:val="en-GB"/>
        </w:rPr>
        <w:t xml:space="preserve">); small town - 31.4% (326 persons); municipality - 53.3% (553 </w:t>
      </w:r>
      <w:r w:rsidR="004C3391" w:rsidRPr="009E0F3B">
        <w:rPr>
          <w:rFonts w:ascii="Cambria" w:hAnsi="Cambria"/>
          <w:sz w:val="24"/>
          <w:szCs w:val="24"/>
          <w:lang w:val="en-GB"/>
        </w:rPr>
        <w:t>participants</w:t>
      </w:r>
      <w:r w:rsidRPr="009E0F3B">
        <w:rPr>
          <w:rFonts w:ascii="Cambria" w:hAnsi="Cambria"/>
          <w:sz w:val="24"/>
          <w:szCs w:val="24"/>
          <w:lang w:val="en-GB"/>
        </w:rPr>
        <w:t>),</w:t>
      </w:r>
    </w:p>
    <w:p w14:paraId="3921516A" w14:textId="77777777" w:rsidR="00FB6EAD" w:rsidRPr="009E0F3B" w:rsidRDefault="004C3391" w:rsidP="00FB6EAD">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l</w:t>
      </w:r>
      <w:r w:rsidR="00611279" w:rsidRPr="009E0F3B">
        <w:rPr>
          <w:rFonts w:ascii="Cambria" w:hAnsi="Cambria"/>
          <w:sz w:val="24"/>
          <w:szCs w:val="24"/>
          <w:lang w:val="en-GB"/>
        </w:rPr>
        <w:t>evel of education: bachelor (BA/</w:t>
      </w:r>
      <w:proofErr w:type="spellStart"/>
      <w:r w:rsidR="00611279" w:rsidRPr="009E0F3B">
        <w:rPr>
          <w:rFonts w:ascii="Cambria" w:hAnsi="Cambria"/>
          <w:sz w:val="24"/>
          <w:szCs w:val="24"/>
          <w:lang w:val="en-GB"/>
        </w:rPr>
        <w:t>Bc</w:t>
      </w:r>
      <w:proofErr w:type="spellEnd"/>
      <w:r w:rsidR="00611279" w:rsidRPr="009E0F3B">
        <w:rPr>
          <w:rFonts w:ascii="Cambria" w:hAnsi="Cambria"/>
          <w:sz w:val="24"/>
          <w:szCs w:val="24"/>
          <w:lang w:val="en-GB"/>
        </w:rPr>
        <w:t xml:space="preserve">) - 87.6% (908 </w:t>
      </w:r>
      <w:r w:rsidRPr="009E0F3B">
        <w:rPr>
          <w:rFonts w:ascii="Cambria" w:hAnsi="Cambria"/>
          <w:sz w:val="24"/>
          <w:szCs w:val="24"/>
          <w:lang w:val="en-GB"/>
        </w:rPr>
        <w:t>participants</w:t>
      </w:r>
      <w:r w:rsidR="00611279" w:rsidRPr="009E0F3B">
        <w:rPr>
          <w:rFonts w:ascii="Cambria" w:hAnsi="Cambria"/>
          <w:sz w:val="24"/>
          <w:szCs w:val="24"/>
          <w:lang w:val="en-GB"/>
        </w:rPr>
        <w:t>)</w:t>
      </w:r>
      <w:r w:rsidR="00FB6EAD" w:rsidRPr="009E0F3B">
        <w:rPr>
          <w:rFonts w:ascii="Cambria" w:hAnsi="Cambria"/>
          <w:sz w:val="24"/>
          <w:szCs w:val="24"/>
          <w:lang w:val="en-GB"/>
        </w:rPr>
        <w:t>; master (MA/</w:t>
      </w:r>
      <w:proofErr w:type="spellStart"/>
      <w:r w:rsidR="00FB6EAD" w:rsidRPr="009E0F3B">
        <w:rPr>
          <w:rFonts w:ascii="Cambria" w:hAnsi="Cambria"/>
          <w:sz w:val="24"/>
          <w:szCs w:val="24"/>
          <w:lang w:val="en-GB"/>
        </w:rPr>
        <w:t>Mgr</w:t>
      </w:r>
      <w:proofErr w:type="spellEnd"/>
      <w:r w:rsidR="00FB6EAD" w:rsidRPr="009E0F3B">
        <w:rPr>
          <w:rFonts w:ascii="Cambria" w:hAnsi="Cambria"/>
          <w:sz w:val="24"/>
          <w:szCs w:val="24"/>
          <w:lang w:val="en-GB"/>
        </w:rPr>
        <w:t xml:space="preserve">) - 11.4% (118 </w:t>
      </w:r>
      <w:r w:rsidRPr="009E0F3B">
        <w:rPr>
          <w:rFonts w:ascii="Cambria" w:hAnsi="Cambria"/>
          <w:sz w:val="24"/>
          <w:szCs w:val="24"/>
          <w:lang w:val="en-GB"/>
        </w:rPr>
        <w:t>participants</w:t>
      </w:r>
      <w:r w:rsidR="00611279" w:rsidRPr="009E0F3B">
        <w:rPr>
          <w:rFonts w:ascii="Cambria" w:hAnsi="Cambria"/>
          <w:sz w:val="24"/>
          <w:szCs w:val="24"/>
          <w:lang w:val="en-GB"/>
        </w:rPr>
        <w:t xml:space="preserve">); doctorate (PhD) - 1.1% (11 </w:t>
      </w:r>
      <w:r w:rsidR="00FB6EAD" w:rsidRPr="009E0F3B">
        <w:rPr>
          <w:rFonts w:ascii="Cambria" w:hAnsi="Cambria"/>
          <w:sz w:val="24"/>
          <w:szCs w:val="24"/>
          <w:lang w:val="en-GB"/>
        </w:rPr>
        <w:t>participants</w:t>
      </w:r>
      <w:r w:rsidR="00611279" w:rsidRPr="009E0F3B">
        <w:rPr>
          <w:rFonts w:ascii="Cambria" w:hAnsi="Cambria"/>
          <w:sz w:val="24"/>
          <w:szCs w:val="24"/>
          <w:lang w:val="en-GB"/>
        </w:rPr>
        <w:t>),</w:t>
      </w:r>
    </w:p>
    <w:p w14:paraId="5E526B3C" w14:textId="77777777" w:rsidR="00FB6EAD" w:rsidRPr="009E0F3B" w:rsidRDefault="00611279" w:rsidP="00FB6EAD">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lastRenderedPageBreak/>
        <w:t xml:space="preserve">whether there is a teacher in the family: yes - 32.5% (337 </w:t>
      </w:r>
      <w:r w:rsidR="00FB6EAD" w:rsidRPr="009E0F3B">
        <w:rPr>
          <w:rFonts w:ascii="Cambria" w:hAnsi="Cambria"/>
          <w:sz w:val="24"/>
          <w:szCs w:val="24"/>
          <w:lang w:val="en-GB"/>
        </w:rPr>
        <w:t>participants</w:t>
      </w:r>
      <w:r w:rsidRPr="009E0F3B">
        <w:rPr>
          <w:rFonts w:ascii="Cambria" w:hAnsi="Cambria"/>
          <w:sz w:val="24"/>
          <w:szCs w:val="24"/>
          <w:lang w:val="en-GB"/>
        </w:rPr>
        <w:t xml:space="preserve">); no - 67.5% (700 </w:t>
      </w:r>
      <w:r w:rsidR="00FB6EAD" w:rsidRPr="009E0F3B">
        <w:rPr>
          <w:rFonts w:ascii="Cambria" w:hAnsi="Cambria"/>
          <w:sz w:val="24"/>
          <w:szCs w:val="24"/>
          <w:lang w:val="en-GB"/>
        </w:rPr>
        <w:t>participants</w:t>
      </w:r>
      <w:r w:rsidRPr="009E0F3B">
        <w:rPr>
          <w:rFonts w:ascii="Cambria" w:hAnsi="Cambria"/>
          <w:sz w:val="24"/>
          <w:szCs w:val="24"/>
          <w:lang w:val="en-GB"/>
        </w:rPr>
        <w:t>),</w:t>
      </w:r>
    </w:p>
    <w:p w14:paraId="3470CA70" w14:textId="686B44A9" w:rsidR="00611279" w:rsidRPr="009E0F3B" w:rsidRDefault="00611279" w:rsidP="00FB6EAD">
      <w:pPr>
        <w:pStyle w:val="Listaszerbekezds"/>
        <w:numPr>
          <w:ilvl w:val="0"/>
          <w:numId w:val="1"/>
        </w:numPr>
        <w:jc w:val="both"/>
        <w:rPr>
          <w:rFonts w:ascii="Cambria" w:hAnsi="Cambria"/>
          <w:sz w:val="24"/>
          <w:szCs w:val="24"/>
          <w:lang w:val="en-GB"/>
        </w:rPr>
      </w:pPr>
      <w:r w:rsidRPr="009E0F3B">
        <w:rPr>
          <w:rFonts w:ascii="Cambria" w:hAnsi="Cambria"/>
          <w:sz w:val="24"/>
          <w:szCs w:val="24"/>
          <w:lang w:val="en-GB"/>
        </w:rPr>
        <w:t>field of education: teacher education - 54.8% (568); econom</w:t>
      </w:r>
      <w:r w:rsidR="00FB6EAD" w:rsidRPr="009E0F3B">
        <w:rPr>
          <w:rFonts w:ascii="Cambria" w:hAnsi="Cambria"/>
          <w:sz w:val="24"/>
          <w:szCs w:val="24"/>
          <w:lang w:val="en-GB"/>
        </w:rPr>
        <w:t>ics/economics - 43% (446</w:t>
      </w:r>
      <w:r w:rsidRPr="009E0F3B">
        <w:rPr>
          <w:rFonts w:ascii="Cambria" w:hAnsi="Cambria"/>
          <w:sz w:val="24"/>
          <w:szCs w:val="24"/>
          <w:lang w:val="en-GB"/>
        </w:rPr>
        <w:t>); natural sciences/ natural</w:t>
      </w:r>
      <w:r w:rsidR="00FB6EAD" w:rsidRPr="009E0F3B">
        <w:rPr>
          <w:rFonts w:ascii="Cambria" w:hAnsi="Cambria"/>
          <w:sz w:val="24"/>
          <w:szCs w:val="24"/>
          <w:lang w:val="en-GB"/>
        </w:rPr>
        <w:t xml:space="preserve"> sciences - 2% (21</w:t>
      </w:r>
      <w:r w:rsidRPr="009E0F3B">
        <w:rPr>
          <w:rFonts w:ascii="Cambria" w:hAnsi="Cambria"/>
          <w:sz w:val="24"/>
          <w:szCs w:val="24"/>
          <w:lang w:val="en-GB"/>
        </w:rPr>
        <w:t>); social sciences/s</w:t>
      </w:r>
      <w:r w:rsidR="00FB6EAD" w:rsidRPr="009E0F3B">
        <w:rPr>
          <w:rFonts w:ascii="Cambria" w:hAnsi="Cambria"/>
          <w:sz w:val="24"/>
          <w:szCs w:val="24"/>
          <w:lang w:val="en-GB"/>
        </w:rPr>
        <w:t>ocial sciences - 0.2% (2</w:t>
      </w:r>
      <w:r w:rsidRPr="009E0F3B">
        <w:rPr>
          <w:rFonts w:ascii="Cambria" w:hAnsi="Cambria"/>
          <w:sz w:val="24"/>
          <w:szCs w:val="24"/>
          <w:lang w:val="en-GB"/>
        </w:rPr>
        <w:t>).</w:t>
      </w:r>
    </w:p>
    <w:p w14:paraId="7635F8FC" w14:textId="531BA8D0" w:rsidR="00FB6EAD" w:rsidRPr="009E0F3B" w:rsidRDefault="00FB6EAD" w:rsidP="00FB6EAD">
      <w:pPr>
        <w:jc w:val="both"/>
        <w:rPr>
          <w:rFonts w:ascii="Cambria" w:hAnsi="Cambria"/>
          <w:sz w:val="24"/>
          <w:szCs w:val="24"/>
          <w:lang w:val="en-GB"/>
        </w:rPr>
      </w:pPr>
      <w:r w:rsidRPr="009E0F3B">
        <w:rPr>
          <w:rFonts w:ascii="Cambria" w:hAnsi="Cambria"/>
          <w:sz w:val="24"/>
          <w:szCs w:val="24"/>
          <w:lang w:val="en-GB"/>
        </w:rPr>
        <w:t xml:space="preserve">The table below shows the distribution of students participating in the questionnaire by subject and university. </w:t>
      </w:r>
    </w:p>
    <w:tbl>
      <w:tblPr>
        <w:tblStyle w:val="Rcsostblzat"/>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1"/>
        <w:gridCol w:w="1149"/>
        <w:gridCol w:w="1203"/>
        <w:gridCol w:w="1192"/>
        <w:gridCol w:w="1723"/>
        <w:gridCol w:w="1149"/>
        <w:gridCol w:w="919"/>
      </w:tblGrid>
      <w:tr w:rsidR="00FB6EAD" w:rsidRPr="009E0F3B" w14:paraId="7D87556D" w14:textId="77777777" w:rsidTr="00FB6EAD">
        <w:tc>
          <w:tcPr>
            <w:tcW w:w="2084" w:type="dxa"/>
            <w:tcBorders>
              <w:top w:val="single" w:sz="18" w:space="0" w:color="auto"/>
              <w:bottom w:val="double" w:sz="4" w:space="0" w:color="auto"/>
              <w:right w:val="double" w:sz="4" w:space="0" w:color="auto"/>
            </w:tcBorders>
            <w:vAlign w:val="center"/>
          </w:tcPr>
          <w:p w14:paraId="32959183" w14:textId="77777777" w:rsidR="00FB6EAD" w:rsidRPr="009E0F3B" w:rsidRDefault="00FB6EAD" w:rsidP="00C02DA7">
            <w:pPr>
              <w:rPr>
                <w:rFonts w:ascii="Cambria" w:hAnsi="Cambria"/>
                <w:lang w:val="en-GB"/>
              </w:rPr>
            </w:pPr>
          </w:p>
        </w:tc>
        <w:tc>
          <w:tcPr>
            <w:tcW w:w="1069" w:type="dxa"/>
            <w:tcBorders>
              <w:top w:val="single" w:sz="18" w:space="0" w:color="auto"/>
              <w:left w:val="double" w:sz="4" w:space="0" w:color="auto"/>
              <w:bottom w:val="double" w:sz="4" w:space="0" w:color="auto"/>
            </w:tcBorders>
            <w:vAlign w:val="center"/>
          </w:tcPr>
          <w:p w14:paraId="2EFC25BC" w14:textId="10F011B3" w:rsidR="00FB6EAD" w:rsidRPr="009E0F3B" w:rsidRDefault="00FB6EAD" w:rsidP="00FB6EAD">
            <w:pPr>
              <w:jc w:val="center"/>
              <w:rPr>
                <w:rFonts w:ascii="Cambria" w:hAnsi="Cambria"/>
                <w:sz w:val="21"/>
                <w:szCs w:val="21"/>
                <w:lang w:val="en-GB"/>
              </w:rPr>
            </w:pPr>
            <w:r w:rsidRPr="009E0F3B">
              <w:rPr>
                <w:rFonts w:ascii="Cambria" w:hAnsi="Cambria"/>
                <w:sz w:val="21"/>
                <w:szCs w:val="21"/>
                <w:lang w:val="en-GB"/>
              </w:rPr>
              <w:t>J. Selye University SK</w:t>
            </w:r>
          </w:p>
        </w:tc>
        <w:tc>
          <w:tcPr>
            <w:tcW w:w="1120" w:type="dxa"/>
            <w:tcBorders>
              <w:top w:val="single" w:sz="18" w:space="0" w:color="auto"/>
              <w:bottom w:val="double" w:sz="4" w:space="0" w:color="auto"/>
            </w:tcBorders>
            <w:vAlign w:val="center"/>
          </w:tcPr>
          <w:p w14:paraId="1A405A4B" w14:textId="70BED217" w:rsidR="00FB6EAD" w:rsidRPr="009E0F3B" w:rsidRDefault="00FB6EAD" w:rsidP="00FB6EAD">
            <w:pPr>
              <w:jc w:val="center"/>
              <w:rPr>
                <w:rFonts w:ascii="Cambria" w:hAnsi="Cambria"/>
                <w:sz w:val="21"/>
                <w:szCs w:val="21"/>
                <w:lang w:val="en-GB"/>
              </w:rPr>
            </w:pPr>
            <w:proofErr w:type="spellStart"/>
            <w:r w:rsidRPr="009E0F3B">
              <w:rPr>
                <w:rFonts w:ascii="Cambria" w:hAnsi="Cambria"/>
                <w:sz w:val="21"/>
                <w:szCs w:val="21"/>
                <w:lang w:val="en-GB"/>
              </w:rPr>
              <w:t>Eszterházy</w:t>
            </w:r>
            <w:proofErr w:type="spellEnd"/>
            <w:r w:rsidRPr="009E0F3B">
              <w:rPr>
                <w:rFonts w:ascii="Cambria" w:hAnsi="Cambria"/>
                <w:sz w:val="21"/>
                <w:szCs w:val="21"/>
                <w:lang w:val="en-GB"/>
              </w:rPr>
              <w:t xml:space="preserve"> </w:t>
            </w:r>
            <w:proofErr w:type="spellStart"/>
            <w:r w:rsidRPr="009E0F3B">
              <w:rPr>
                <w:rFonts w:ascii="Cambria" w:hAnsi="Cambria"/>
                <w:sz w:val="21"/>
                <w:szCs w:val="21"/>
                <w:lang w:val="en-GB"/>
              </w:rPr>
              <w:t>Károly</w:t>
            </w:r>
            <w:proofErr w:type="spellEnd"/>
            <w:r w:rsidRPr="009E0F3B">
              <w:rPr>
                <w:rFonts w:ascii="Cambria" w:hAnsi="Cambria"/>
                <w:sz w:val="21"/>
                <w:szCs w:val="21"/>
                <w:lang w:val="en-GB"/>
              </w:rPr>
              <w:t xml:space="preserve"> Catholic University, HU</w:t>
            </w:r>
          </w:p>
        </w:tc>
        <w:tc>
          <w:tcPr>
            <w:tcW w:w="807" w:type="dxa"/>
            <w:tcBorders>
              <w:top w:val="single" w:sz="18" w:space="0" w:color="auto"/>
              <w:bottom w:val="double" w:sz="4" w:space="0" w:color="auto"/>
            </w:tcBorders>
            <w:vAlign w:val="center"/>
          </w:tcPr>
          <w:p w14:paraId="31D49D2E" w14:textId="70FE1C6A" w:rsidR="00FB6EAD" w:rsidRPr="009E0F3B" w:rsidRDefault="00FB6EAD" w:rsidP="00FB6EAD">
            <w:pPr>
              <w:jc w:val="center"/>
              <w:rPr>
                <w:rFonts w:ascii="Cambria" w:hAnsi="Cambria"/>
                <w:sz w:val="21"/>
                <w:szCs w:val="21"/>
                <w:lang w:val="en-GB"/>
              </w:rPr>
            </w:pPr>
            <w:proofErr w:type="spellStart"/>
            <w:r w:rsidRPr="009E0F3B">
              <w:rPr>
                <w:rFonts w:ascii="Cambria" w:hAnsi="Cambria"/>
                <w:sz w:val="21"/>
                <w:szCs w:val="21"/>
                <w:lang w:val="en-GB"/>
              </w:rPr>
              <w:t>Partium</w:t>
            </w:r>
            <w:proofErr w:type="spellEnd"/>
            <w:r w:rsidRPr="009E0F3B">
              <w:rPr>
                <w:rFonts w:ascii="Cambria" w:hAnsi="Cambria"/>
                <w:sz w:val="21"/>
                <w:szCs w:val="21"/>
                <w:lang w:val="en-GB"/>
              </w:rPr>
              <w:t xml:space="preserve"> Christian University, RO</w:t>
            </w:r>
          </w:p>
        </w:tc>
        <w:tc>
          <w:tcPr>
            <w:tcW w:w="1896" w:type="dxa"/>
            <w:tcBorders>
              <w:top w:val="single" w:sz="18" w:space="0" w:color="auto"/>
              <w:bottom w:val="double" w:sz="4" w:space="0" w:color="auto"/>
            </w:tcBorders>
            <w:vAlign w:val="center"/>
          </w:tcPr>
          <w:p w14:paraId="449EAE73" w14:textId="0E808FD7" w:rsidR="00FB6EAD" w:rsidRPr="009E0F3B" w:rsidRDefault="00FB6EAD" w:rsidP="00FB6EAD">
            <w:pPr>
              <w:jc w:val="center"/>
              <w:rPr>
                <w:rFonts w:ascii="Cambria" w:hAnsi="Cambria"/>
                <w:sz w:val="21"/>
                <w:szCs w:val="21"/>
                <w:lang w:val="en-GB"/>
              </w:rPr>
            </w:pPr>
            <w:r w:rsidRPr="009E0F3B">
              <w:rPr>
                <w:rFonts w:ascii="Cambria" w:hAnsi="Cambria"/>
                <w:sz w:val="21"/>
                <w:szCs w:val="21"/>
                <w:lang w:val="en-GB"/>
              </w:rPr>
              <w:t xml:space="preserve">Ferenc </w:t>
            </w:r>
            <w:proofErr w:type="spellStart"/>
            <w:r w:rsidRPr="009E0F3B">
              <w:rPr>
                <w:rFonts w:ascii="Cambria" w:hAnsi="Cambria"/>
                <w:sz w:val="21"/>
                <w:szCs w:val="21"/>
                <w:lang w:val="en-GB"/>
              </w:rPr>
              <w:t>Rákóczi</w:t>
            </w:r>
            <w:proofErr w:type="spellEnd"/>
            <w:r w:rsidRPr="009E0F3B">
              <w:rPr>
                <w:rFonts w:ascii="Cambria" w:hAnsi="Cambria"/>
                <w:sz w:val="21"/>
                <w:szCs w:val="21"/>
                <w:lang w:val="en-GB"/>
              </w:rPr>
              <w:t xml:space="preserve"> II </w:t>
            </w:r>
            <w:r w:rsidRPr="009E0F3B">
              <w:rPr>
                <w:rFonts w:ascii="Cambria" w:hAnsi="Cambria"/>
                <w:sz w:val="18"/>
                <w:szCs w:val="18"/>
                <w:lang w:val="en-GB"/>
              </w:rPr>
              <w:t xml:space="preserve">Transcarpathian </w:t>
            </w:r>
            <w:r w:rsidRPr="009E0F3B">
              <w:rPr>
                <w:rFonts w:ascii="Cambria" w:hAnsi="Cambria"/>
                <w:sz w:val="21"/>
                <w:szCs w:val="21"/>
                <w:lang w:val="en-GB"/>
              </w:rPr>
              <w:t>Hungarian College, UK</w:t>
            </w:r>
          </w:p>
        </w:tc>
        <w:tc>
          <w:tcPr>
            <w:tcW w:w="1003" w:type="dxa"/>
            <w:tcBorders>
              <w:top w:val="single" w:sz="18" w:space="0" w:color="auto"/>
              <w:bottom w:val="double" w:sz="4" w:space="0" w:color="auto"/>
              <w:right w:val="double" w:sz="4" w:space="0" w:color="auto"/>
            </w:tcBorders>
            <w:vAlign w:val="center"/>
          </w:tcPr>
          <w:p w14:paraId="333843E6" w14:textId="77777777" w:rsidR="00FB6EAD" w:rsidRPr="009E0F3B" w:rsidRDefault="00FB6EAD" w:rsidP="00C02DA7">
            <w:pPr>
              <w:jc w:val="center"/>
              <w:rPr>
                <w:rFonts w:ascii="Cambria" w:hAnsi="Cambria"/>
                <w:sz w:val="21"/>
                <w:szCs w:val="21"/>
                <w:lang w:val="en-GB"/>
              </w:rPr>
            </w:pPr>
            <w:r w:rsidRPr="009E0F3B">
              <w:rPr>
                <w:rFonts w:ascii="Cambria" w:hAnsi="Cambria"/>
                <w:sz w:val="21"/>
                <w:szCs w:val="21"/>
                <w:lang w:val="en-GB"/>
              </w:rPr>
              <w:t xml:space="preserve">University of Novi Sad, </w:t>
            </w:r>
          </w:p>
          <w:p w14:paraId="16974939" w14:textId="1C66EA53" w:rsidR="00FB6EAD" w:rsidRPr="009E0F3B" w:rsidRDefault="00FB6EAD" w:rsidP="00C02DA7">
            <w:pPr>
              <w:jc w:val="center"/>
              <w:rPr>
                <w:rFonts w:ascii="Cambria" w:hAnsi="Cambria"/>
                <w:sz w:val="21"/>
                <w:szCs w:val="21"/>
                <w:lang w:val="en-GB"/>
              </w:rPr>
            </w:pPr>
            <w:r w:rsidRPr="009E0F3B">
              <w:rPr>
                <w:rFonts w:ascii="Cambria" w:hAnsi="Cambria"/>
                <w:sz w:val="21"/>
                <w:szCs w:val="21"/>
                <w:lang w:val="en-GB"/>
              </w:rPr>
              <w:t>SR</w:t>
            </w:r>
          </w:p>
        </w:tc>
        <w:tc>
          <w:tcPr>
            <w:tcW w:w="1047" w:type="dxa"/>
            <w:tcBorders>
              <w:top w:val="single" w:sz="18" w:space="0" w:color="auto"/>
              <w:left w:val="double" w:sz="4" w:space="0" w:color="auto"/>
              <w:bottom w:val="double" w:sz="4" w:space="0" w:color="auto"/>
            </w:tcBorders>
            <w:vAlign w:val="center"/>
          </w:tcPr>
          <w:p w14:paraId="44E0C235" w14:textId="6048A33D" w:rsidR="00FB6EAD" w:rsidRPr="009E0F3B" w:rsidRDefault="00FB6EAD" w:rsidP="00C02DA7">
            <w:pPr>
              <w:jc w:val="center"/>
              <w:rPr>
                <w:rFonts w:ascii="Cambria" w:hAnsi="Cambria"/>
                <w:b/>
                <w:bCs/>
                <w:lang w:val="en-GB"/>
              </w:rPr>
            </w:pPr>
            <w:r w:rsidRPr="009E0F3B">
              <w:rPr>
                <w:rFonts w:ascii="Cambria" w:hAnsi="Cambria"/>
                <w:b/>
                <w:bCs/>
                <w:lang w:val="en-GB"/>
              </w:rPr>
              <w:t>Total</w:t>
            </w:r>
          </w:p>
        </w:tc>
      </w:tr>
      <w:tr w:rsidR="00FB6EAD" w:rsidRPr="009E0F3B" w14:paraId="2EDD2872" w14:textId="77777777" w:rsidTr="00FB6EAD">
        <w:tc>
          <w:tcPr>
            <w:tcW w:w="2084" w:type="dxa"/>
            <w:tcBorders>
              <w:top w:val="double" w:sz="4" w:space="0" w:color="auto"/>
              <w:right w:val="double" w:sz="4" w:space="0" w:color="auto"/>
            </w:tcBorders>
            <w:vAlign w:val="center"/>
          </w:tcPr>
          <w:p w14:paraId="4BE51F32" w14:textId="3E694643" w:rsidR="00FB6EAD" w:rsidRPr="009E0F3B" w:rsidRDefault="00FB6EAD" w:rsidP="00C02DA7">
            <w:pPr>
              <w:rPr>
                <w:rFonts w:ascii="Cambria" w:hAnsi="Cambria"/>
                <w:sz w:val="21"/>
                <w:szCs w:val="21"/>
                <w:lang w:val="en-GB"/>
              </w:rPr>
            </w:pPr>
            <w:r w:rsidRPr="009E0F3B">
              <w:rPr>
                <w:rFonts w:ascii="Cambria" w:hAnsi="Cambria"/>
                <w:sz w:val="21"/>
                <w:szCs w:val="21"/>
                <w:lang w:val="en-GB"/>
              </w:rPr>
              <w:t>in teacher education</w:t>
            </w:r>
          </w:p>
        </w:tc>
        <w:tc>
          <w:tcPr>
            <w:tcW w:w="1069" w:type="dxa"/>
            <w:tcBorders>
              <w:top w:val="double" w:sz="4" w:space="0" w:color="auto"/>
              <w:left w:val="double" w:sz="4" w:space="0" w:color="auto"/>
            </w:tcBorders>
            <w:vAlign w:val="center"/>
          </w:tcPr>
          <w:p w14:paraId="2FEAB0E2" w14:textId="77777777" w:rsidR="00FB6EAD" w:rsidRPr="009E0F3B" w:rsidRDefault="00FB6EAD" w:rsidP="00C02DA7">
            <w:pPr>
              <w:jc w:val="center"/>
              <w:rPr>
                <w:rFonts w:ascii="Cambria" w:hAnsi="Cambria"/>
                <w:lang w:val="en-GB"/>
              </w:rPr>
            </w:pPr>
            <w:r w:rsidRPr="009E0F3B">
              <w:rPr>
                <w:rFonts w:ascii="Cambria" w:hAnsi="Cambria"/>
                <w:lang w:val="en-GB"/>
              </w:rPr>
              <w:t>317</w:t>
            </w:r>
          </w:p>
        </w:tc>
        <w:tc>
          <w:tcPr>
            <w:tcW w:w="1120" w:type="dxa"/>
            <w:tcBorders>
              <w:top w:val="double" w:sz="4" w:space="0" w:color="auto"/>
            </w:tcBorders>
            <w:vAlign w:val="center"/>
          </w:tcPr>
          <w:p w14:paraId="5990A145" w14:textId="77777777" w:rsidR="00FB6EAD" w:rsidRPr="009E0F3B" w:rsidRDefault="00FB6EAD" w:rsidP="00C02DA7">
            <w:pPr>
              <w:jc w:val="center"/>
              <w:rPr>
                <w:rFonts w:ascii="Cambria" w:hAnsi="Cambria"/>
                <w:lang w:val="en-GB"/>
              </w:rPr>
            </w:pPr>
            <w:r w:rsidRPr="009E0F3B">
              <w:rPr>
                <w:rFonts w:ascii="Cambria" w:hAnsi="Cambria"/>
                <w:lang w:val="en-GB"/>
              </w:rPr>
              <w:t>85</w:t>
            </w:r>
          </w:p>
        </w:tc>
        <w:tc>
          <w:tcPr>
            <w:tcW w:w="807" w:type="dxa"/>
            <w:tcBorders>
              <w:top w:val="double" w:sz="4" w:space="0" w:color="auto"/>
            </w:tcBorders>
            <w:vAlign w:val="center"/>
          </w:tcPr>
          <w:p w14:paraId="1C87C5BC" w14:textId="77777777" w:rsidR="00FB6EAD" w:rsidRPr="009E0F3B" w:rsidRDefault="00FB6EAD" w:rsidP="00C02DA7">
            <w:pPr>
              <w:jc w:val="center"/>
              <w:rPr>
                <w:rFonts w:ascii="Cambria" w:hAnsi="Cambria"/>
                <w:lang w:val="en-GB"/>
              </w:rPr>
            </w:pPr>
            <w:r w:rsidRPr="009E0F3B">
              <w:rPr>
                <w:rFonts w:ascii="Cambria" w:hAnsi="Cambria"/>
                <w:lang w:val="en-GB"/>
              </w:rPr>
              <w:t>28</w:t>
            </w:r>
          </w:p>
        </w:tc>
        <w:tc>
          <w:tcPr>
            <w:tcW w:w="1896" w:type="dxa"/>
            <w:tcBorders>
              <w:top w:val="double" w:sz="4" w:space="0" w:color="auto"/>
            </w:tcBorders>
            <w:vAlign w:val="center"/>
          </w:tcPr>
          <w:p w14:paraId="1FB985D4" w14:textId="77777777" w:rsidR="00FB6EAD" w:rsidRPr="009E0F3B" w:rsidRDefault="00FB6EAD" w:rsidP="00C02DA7">
            <w:pPr>
              <w:jc w:val="center"/>
              <w:rPr>
                <w:rFonts w:ascii="Cambria" w:hAnsi="Cambria"/>
                <w:lang w:val="en-GB"/>
              </w:rPr>
            </w:pPr>
            <w:r w:rsidRPr="009E0F3B">
              <w:rPr>
                <w:rFonts w:ascii="Cambria" w:hAnsi="Cambria"/>
                <w:lang w:val="en-GB"/>
              </w:rPr>
              <w:t>62</w:t>
            </w:r>
          </w:p>
        </w:tc>
        <w:tc>
          <w:tcPr>
            <w:tcW w:w="1003" w:type="dxa"/>
            <w:tcBorders>
              <w:top w:val="double" w:sz="4" w:space="0" w:color="auto"/>
              <w:right w:val="double" w:sz="4" w:space="0" w:color="auto"/>
            </w:tcBorders>
            <w:vAlign w:val="center"/>
          </w:tcPr>
          <w:p w14:paraId="2B4FE943" w14:textId="77777777" w:rsidR="00FB6EAD" w:rsidRPr="009E0F3B" w:rsidRDefault="00FB6EAD" w:rsidP="00C02DA7">
            <w:pPr>
              <w:jc w:val="center"/>
              <w:rPr>
                <w:rFonts w:ascii="Cambria" w:hAnsi="Cambria"/>
                <w:lang w:val="en-GB"/>
              </w:rPr>
            </w:pPr>
            <w:r w:rsidRPr="009E0F3B">
              <w:rPr>
                <w:rFonts w:ascii="Cambria" w:hAnsi="Cambria"/>
                <w:lang w:val="en-GB"/>
              </w:rPr>
              <w:t>76</w:t>
            </w:r>
          </w:p>
        </w:tc>
        <w:tc>
          <w:tcPr>
            <w:tcW w:w="1047" w:type="dxa"/>
            <w:tcBorders>
              <w:top w:val="double" w:sz="4" w:space="0" w:color="auto"/>
              <w:left w:val="double" w:sz="4" w:space="0" w:color="auto"/>
            </w:tcBorders>
            <w:vAlign w:val="center"/>
          </w:tcPr>
          <w:p w14:paraId="33B4819D" w14:textId="77777777" w:rsidR="00FB6EAD" w:rsidRPr="009E0F3B" w:rsidRDefault="00FB6EAD" w:rsidP="00C02DA7">
            <w:pPr>
              <w:jc w:val="center"/>
              <w:rPr>
                <w:rFonts w:ascii="Cambria" w:hAnsi="Cambria"/>
                <w:lang w:val="en-GB"/>
              </w:rPr>
            </w:pPr>
            <w:r w:rsidRPr="009E0F3B">
              <w:rPr>
                <w:rFonts w:ascii="Cambria" w:hAnsi="Cambria"/>
                <w:lang w:val="en-GB"/>
              </w:rPr>
              <w:t>562</w:t>
            </w:r>
          </w:p>
        </w:tc>
      </w:tr>
      <w:tr w:rsidR="00FB6EAD" w:rsidRPr="009E0F3B" w14:paraId="46E13707" w14:textId="77777777" w:rsidTr="00FB6EAD">
        <w:tc>
          <w:tcPr>
            <w:tcW w:w="2084" w:type="dxa"/>
            <w:tcBorders>
              <w:right w:val="double" w:sz="4" w:space="0" w:color="auto"/>
            </w:tcBorders>
            <w:vAlign w:val="center"/>
          </w:tcPr>
          <w:p w14:paraId="75657108" w14:textId="0A80A7A5" w:rsidR="00FB6EAD" w:rsidRPr="009E0F3B" w:rsidRDefault="00FB6EAD" w:rsidP="00C02DA7">
            <w:pPr>
              <w:rPr>
                <w:rFonts w:ascii="Cambria" w:hAnsi="Cambria"/>
                <w:sz w:val="21"/>
                <w:szCs w:val="21"/>
                <w:lang w:val="en-GB"/>
              </w:rPr>
            </w:pPr>
            <w:r w:rsidRPr="009E0F3B">
              <w:rPr>
                <w:rFonts w:ascii="Cambria" w:hAnsi="Cambria"/>
                <w:sz w:val="21"/>
                <w:szCs w:val="21"/>
                <w:lang w:val="en-GB"/>
              </w:rPr>
              <w:t>in economics</w:t>
            </w:r>
          </w:p>
        </w:tc>
        <w:tc>
          <w:tcPr>
            <w:tcW w:w="1069" w:type="dxa"/>
            <w:tcBorders>
              <w:left w:val="double" w:sz="4" w:space="0" w:color="auto"/>
            </w:tcBorders>
            <w:vAlign w:val="center"/>
          </w:tcPr>
          <w:p w14:paraId="4FAE3505" w14:textId="77777777" w:rsidR="00FB6EAD" w:rsidRPr="009E0F3B" w:rsidRDefault="00FB6EAD" w:rsidP="00C02DA7">
            <w:pPr>
              <w:jc w:val="center"/>
              <w:rPr>
                <w:rFonts w:ascii="Cambria" w:hAnsi="Cambria"/>
                <w:lang w:val="en-GB"/>
              </w:rPr>
            </w:pPr>
            <w:r w:rsidRPr="009E0F3B">
              <w:rPr>
                <w:rFonts w:ascii="Cambria" w:hAnsi="Cambria"/>
                <w:lang w:val="en-GB"/>
              </w:rPr>
              <w:t>314</w:t>
            </w:r>
          </w:p>
        </w:tc>
        <w:tc>
          <w:tcPr>
            <w:tcW w:w="1120" w:type="dxa"/>
            <w:vAlign w:val="center"/>
          </w:tcPr>
          <w:p w14:paraId="6934D70F" w14:textId="77777777" w:rsidR="00FB6EAD" w:rsidRPr="009E0F3B" w:rsidRDefault="00FB6EAD" w:rsidP="00C02DA7">
            <w:pPr>
              <w:jc w:val="center"/>
              <w:rPr>
                <w:rFonts w:ascii="Cambria" w:hAnsi="Cambria"/>
                <w:lang w:val="en-GB"/>
              </w:rPr>
            </w:pPr>
            <w:r w:rsidRPr="009E0F3B">
              <w:rPr>
                <w:rFonts w:ascii="Cambria" w:hAnsi="Cambria"/>
                <w:lang w:val="en-GB"/>
              </w:rPr>
              <w:t>39</w:t>
            </w:r>
          </w:p>
        </w:tc>
        <w:tc>
          <w:tcPr>
            <w:tcW w:w="807" w:type="dxa"/>
            <w:vAlign w:val="center"/>
          </w:tcPr>
          <w:p w14:paraId="2B2B36EA" w14:textId="77777777" w:rsidR="00FB6EAD" w:rsidRPr="009E0F3B" w:rsidRDefault="00FB6EAD" w:rsidP="00C02DA7">
            <w:pPr>
              <w:jc w:val="center"/>
              <w:rPr>
                <w:rFonts w:ascii="Cambria" w:hAnsi="Cambria"/>
                <w:lang w:val="en-GB"/>
              </w:rPr>
            </w:pPr>
            <w:r w:rsidRPr="009E0F3B">
              <w:rPr>
                <w:rFonts w:ascii="Cambria" w:hAnsi="Cambria"/>
                <w:lang w:val="en-GB"/>
              </w:rPr>
              <w:t>75</w:t>
            </w:r>
          </w:p>
        </w:tc>
        <w:tc>
          <w:tcPr>
            <w:tcW w:w="1896" w:type="dxa"/>
            <w:vAlign w:val="center"/>
          </w:tcPr>
          <w:p w14:paraId="33E66808" w14:textId="77777777" w:rsidR="00FB6EAD" w:rsidRPr="009E0F3B" w:rsidRDefault="00FB6EAD" w:rsidP="00C02DA7">
            <w:pPr>
              <w:jc w:val="center"/>
              <w:rPr>
                <w:rFonts w:ascii="Cambria" w:hAnsi="Cambria"/>
                <w:lang w:val="en-GB"/>
              </w:rPr>
            </w:pPr>
            <w:r w:rsidRPr="009E0F3B">
              <w:rPr>
                <w:rFonts w:ascii="Cambria" w:hAnsi="Cambria"/>
                <w:lang w:val="en-GB"/>
              </w:rPr>
              <w:t>18</w:t>
            </w:r>
          </w:p>
        </w:tc>
        <w:tc>
          <w:tcPr>
            <w:tcW w:w="1003" w:type="dxa"/>
            <w:tcBorders>
              <w:right w:val="double" w:sz="4" w:space="0" w:color="auto"/>
            </w:tcBorders>
            <w:vAlign w:val="center"/>
          </w:tcPr>
          <w:p w14:paraId="2931B726"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047" w:type="dxa"/>
            <w:tcBorders>
              <w:left w:val="double" w:sz="4" w:space="0" w:color="auto"/>
            </w:tcBorders>
            <w:vAlign w:val="center"/>
          </w:tcPr>
          <w:p w14:paraId="734C0824" w14:textId="77777777" w:rsidR="00FB6EAD" w:rsidRPr="009E0F3B" w:rsidRDefault="00FB6EAD" w:rsidP="00C02DA7">
            <w:pPr>
              <w:jc w:val="center"/>
              <w:rPr>
                <w:rFonts w:ascii="Cambria" w:hAnsi="Cambria"/>
                <w:lang w:val="en-GB"/>
              </w:rPr>
            </w:pPr>
            <w:r w:rsidRPr="009E0F3B">
              <w:rPr>
                <w:rFonts w:ascii="Cambria" w:hAnsi="Cambria"/>
                <w:lang w:val="en-GB"/>
              </w:rPr>
              <w:t>446</w:t>
            </w:r>
          </w:p>
        </w:tc>
      </w:tr>
      <w:tr w:rsidR="00FB6EAD" w:rsidRPr="009E0F3B" w14:paraId="09F2B5F8" w14:textId="77777777" w:rsidTr="00FB6EAD">
        <w:tc>
          <w:tcPr>
            <w:tcW w:w="2084" w:type="dxa"/>
            <w:tcBorders>
              <w:right w:val="double" w:sz="4" w:space="0" w:color="auto"/>
            </w:tcBorders>
            <w:vAlign w:val="center"/>
          </w:tcPr>
          <w:p w14:paraId="4908DB63" w14:textId="1C84B705" w:rsidR="00FB6EAD" w:rsidRPr="009E0F3B" w:rsidRDefault="00FB6EAD" w:rsidP="00C02DA7">
            <w:pPr>
              <w:rPr>
                <w:rFonts w:ascii="Cambria" w:hAnsi="Cambria"/>
                <w:sz w:val="21"/>
                <w:szCs w:val="21"/>
                <w:lang w:val="en-GB"/>
              </w:rPr>
            </w:pPr>
            <w:r w:rsidRPr="009E0F3B">
              <w:rPr>
                <w:rFonts w:ascii="Cambria" w:hAnsi="Cambria"/>
                <w:sz w:val="21"/>
                <w:szCs w:val="21"/>
                <w:lang w:val="en-GB"/>
              </w:rPr>
              <w:t>in natural sciences</w:t>
            </w:r>
          </w:p>
        </w:tc>
        <w:tc>
          <w:tcPr>
            <w:tcW w:w="1069" w:type="dxa"/>
            <w:tcBorders>
              <w:left w:val="double" w:sz="4" w:space="0" w:color="auto"/>
            </w:tcBorders>
            <w:vAlign w:val="center"/>
          </w:tcPr>
          <w:p w14:paraId="73D5489E"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120" w:type="dxa"/>
            <w:vAlign w:val="center"/>
          </w:tcPr>
          <w:p w14:paraId="584FC591" w14:textId="77777777" w:rsidR="00FB6EAD" w:rsidRPr="009E0F3B" w:rsidRDefault="00FB6EAD" w:rsidP="00C02DA7">
            <w:pPr>
              <w:jc w:val="center"/>
              <w:rPr>
                <w:rFonts w:ascii="Cambria" w:hAnsi="Cambria"/>
                <w:lang w:val="en-GB"/>
              </w:rPr>
            </w:pPr>
            <w:r w:rsidRPr="009E0F3B">
              <w:rPr>
                <w:rFonts w:ascii="Cambria" w:hAnsi="Cambria"/>
                <w:lang w:val="en-GB"/>
              </w:rPr>
              <w:t>5</w:t>
            </w:r>
          </w:p>
        </w:tc>
        <w:tc>
          <w:tcPr>
            <w:tcW w:w="807" w:type="dxa"/>
            <w:vAlign w:val="center"/>
          </w:tcPr>
          <w:p w14:paraId="075B225F"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896" w:type="dxa"/>
            <w:vAlign w:val="center"/>
          </w:tcPr>
          <w:p w14:paraId="4E42500E"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003" w:type="dxa"/>
            <w:tcBorders>
              <w:right w:val="double" w:sz="4" w:space="0" w:color="auto"/>
            </w:tcBorders>
            <w:vAlign w:val="center"/>
          </w:tcPr>
          <w:p w14:paraId="6106161B" w14:textId="77777777" w:rsidR="00FB6EAD" w:rsidRPr="009E0F3B" w:rsidRDefault="00FB6EAD" w:rsidP="00C02DA7">
            <w:pPr>
              <w:jc w:val="center"/>
              <w:rPr>
                <w:rFonts w:ascii="Cambria" w:hAnsi="Cambria"/>
                <w:lang w:val="en-GB"/>
              </w:rPr>
            </w:pPr>
            <w:r w:rsidRPr="009E0F3B">
              <w:rPr>
                <w:rFonts w:ascii="Cambria" w:hAnsi="Cambria"/>
                <w:lang w:val="en-GB"/>
              </w:rPr>
              <w:t>16</w:t>
            </w:r>
          </w:p>
        </w:tc>
        <w:tc>
          <w:tcPr>
            <w:tcW w:w="1047" w:type="dxa"/>
            <w:tcBorders>
              <w:left w:val="double" w:sz="4" w:space="0" w:color="auto"/>
            </w:tcBorders>
            <w:vAlign w:val="center"/>
          </w:tcPr>
          <w:p w14:paraId="418AEEAA" w14:textId="77777777" w:rsidR="00FB6EAD" w:rsidRPr="009E0F3B" w:rsidRDefault="00FB6EAD" w:rsidP="00C02DA7">
            <w:pPr>
              <w:jc w:val="center"/>
              <w:rPr>
                <w:rFonts w:ascii="Cambria" w:hAnsi="Cambria"/>
                <w:lang w:val="en-GB"/>
              </w:rPr>
            </w:pPr>
            <w:r w:rsidRPr="009E0F3B">
              <w:rPr>
                <w:rFonts w:ascii="Cambria" w:hAnsi="Cambria"/>
                <w:lang w:val="en-GB"/>
              </w:rPr>
              <w:t>21</w:t>
            </w:r>
          </w:p>
        </w:tc>
      </w:tr>
      <w:tr w:rsidR="00FB6EAD" w:rsidRPr="009E0F3B" w14:paraId="21C0F94A" w14:textId="77777777" w:rsidTr="00FB6EAD">
        <w:tc>
          <w:tcPr>
            <w:tcW w:w="2084" w:type="dxa"/>
            <w:tcBorders>
              <w:right w:val="double" w:sz="4" w:space="0" w:color="auto"/>
            </w:tcBorders>
            <w:vAlign w:val="center"/>
          </w:tcPr>
          <w:p w14:paraId="3F3BA623" w14:textId="102CD9B9" w:rsidR="00FB6EAD" w:rsidRPr="009E0F3B" w:rsidRDefault="00B4282C" w:rsidP="00C02DA7">
            <w:pPr>
              <w:rPr>
                <w:rFonts w:ascii="Cambria" w:hAnsi="Cambria"/>
                <w:sz w:val="21"/>
                <w:szCs w:val="21"/>
                <w:lang w:val="en-GB"/>
              </w:rPr>
            </w:pPr>
            <w:r w:rsidRPr="009E0F3B">
              <w:rPr>
                <w:rFonts w:ascii="Cambria" w:hAnsi="Cambria"/>
                <w:sz w:val="21"/>
                <w:szCs w:val="21"/>
                <w:lang w:val="en-GB"/>
              </w:rPr>
              <w:t>In s</w:t>
            </w:r>
            <w:r w:rsidR="00FB6EAD" w:rsidRPr="009E0F3B">
              <w:rPr>
                <w:rFonts w:ascii="Cambria" w:hAnsi="Cambria"/>
                <w:sz w:val="21"/>
                <w:szCs w:val="21"/>
                <w:lang w:val="en-GB"/>
              </w:rPr>
              <w:t>ocial Sciences</w:t>
            </w:r>
          </w:p>
        </w:tc>
        <w:tc>
          <w:tcPr>
            <w:tcW w:w="1069" w:type="dxa"/>
            <w:tcBorders>
              <w:left w:val="double" w:sz="4" w:space="0" w:color="auto"/>
            </w:tcBorders>
            <w:vAlign w:val="center"/>
          </w:tcPr>
          <w:p w14:paraId="6E616BA5"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120" w:type="dxa"/>
            <w:vAlign w:val="center"/>
          </w:tcPr>
          <w:p w14:paraId="2A6B9E77" w14:textId="77777777" w:rsidR="00FB6EAD" w:rsidRPr="009E0F3B" w:rsidRDefault="00FB6EAD" w:rsidP="00C02DA7">
            <w:pPr>
              <w:jc w:val="center"/>
              <w:rPr>
                <w:rFonts w:ascii="Cambria" w:hAnsi="Cambria"/>
                <w:lang w:val="en-GB"/>
              </w:rPr>
            </w:pPr>
            <w:r w:rsidRPr="009E0F3B">
              <w:rPr>
                <w:rFonts w:ascii="Cambria" w:hAnsi="Cambria"/>
                <w:lang w:val="en-GB"/>
              </w:rPr>
              <w:t>2</w:t>
            </w:r>
          </w:p>
        </w:tc>
        <w:tc>
          <w:tcPr>
            <w:tcW w:w="807" w:type="dxa"/>
            <w:vAlign w:val="center"/>
          </w:tcPr>
          <w:p w14:paraId="7DAB0914"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896" w:type="dxa"/>
            <w:vAlign w:val="center"/>
          </w:tcPr>
          <w:p w14:paraId="258839E8"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003" w:type="dxa"/>
            <w:tcBorders>
              <w:right w:val="double" w:sz="4" w:space="0" w:color="auto"/>
            </w:tcBorders>
            <w:vAlign w:val="center"/>
          </w:tcPr>
          <w:p w14:paraId="762233A6" w14:textId="77777777" w:rsidR="00FB6EAD" w:rsidRPr="009E0F3B" w:rsidRDefault="00FB6EAD" w:rsidP="00C02DA7">
            <w:pPr>
              <w:jc w:val="center"/>
              <w:rPr>
                <w:rFonts w:ascii="Cambria" w:hAnsi="Cambria"/>
                <w:lang w:val="en-GB"/>
              </w:rPr>
            </w:pPr>
            <w:r w:rsidRPr="009E0F3B">
              <w:rPr>
                <w:rFonts w:ascii="Cambria" w:hAnsi="Cambria"/>
                <w:lang w:val="en-GB"/>
              </w:rPr>
              <w:t>0</w:t>
            </w:r>
          </w:p>
        </w:tc>
        <w:tc>
          <w:tcPr>
            <w:tcW w:w="1047" w:type="dxa"/>
            <w:tcBorders>
              <w:left w:val="double" w:sz="4" w:space="0" w:color="auto"/>
            </w:tcBorders>
            <w:vAlign w:val="center"/>
          </w:tcPr>
          <w:p w14:paraId="19245441" w14:textId="77777777" w:rsidR="00FB6EAD" w:rsidRPr="009E0F3B" w:rsidRDefault="00FB6EAD" w:rsidP="00C02DA7">
            <w:pPr>
              <w:jc w:val="center"/>
              <w:rPr>
                <w:rFonts w:ascii="Cambria" w:hAnsi="Cambria"/>
                <w:lang w:val="en-GB"/>
              </w:rPr>
            </w:pPr>
            <w:r w:rsidRPr="009E0F3B">
              <w:rPr>
                <w:rFonts w:ascii="Cambria" w:hAnsi="Cambria"/>
                <w:lang w:val="en-GB"/>
              </w:rPr>
              <w:t>2</w:t>
            </w:r>
          </w:p>
        </w:tc>
      </w:tr>
      <w:tr w:rsidR="00FB6EAD" w:rsidRPr="009E0F3B" w14:paraId="3C63DADA" w14:textId="77777777" w:rsidTr="00FB6EAD">
        <w:trPr>
          <w:trHeight w:val="454"/>
        </w:trPr>
        <w:tc>
          <w:tcPr>
            <w:tcW w:w="2084" w:type="dxa"/>
            <w:tcBorders>
              <w:top w:val="double" w:sz="4" w:space="0" w:color="auto"/>
              <w:bottom w:val="single" w:sz="18" w:space="0" w:color="auto"/>
              <w:right w:val="double" w:sz="4" w:space="0" w:color="auto"/>
            </w:tcBorders>
            <w:vAlign w:val="center"/>
          </w:tcPr>
          <w:p w14:paraId="03283DCA" w14:textId="3E0EF335" w:rsidR="00FB6EAD" w:rsidRPr="009E0F3B" w:rsidRDefault="00FB6EAD" w:rsidP="00C02DA7">
            <w:pPr>
              <w:rPr>
                <w:rFonts w:ascii="Cambria" w:hAnsi="Cambria"/>
                <w:b/>
                <w:bCs/>
                <w:lang w:val="en-GB"/>
              </w:rPr>
            </w:pPr>
            <w:r w:rsidRPr="009E0F3B">
              <w:rPr>
                <w:rFonts w:ascii="Cambria" w:hAnsi="Cambria"/>
                <w:b/>
                <w:bCs/>
                <w:lang w:val="en-GB"/>
              </w:rPr>
              <w:t>Total</w:t>
            </w:r>
          </w:p>
        </w:tc>
        <w:tc>
          <w:tcPr>
            <w:tcW w:w="1069" w:type="dxa"/>
            <w:tcBorders>
              <w:top w:val="double" w:sz="4" w:space="0" w:color="auto"/>
              <w:left w:val="double" w:sz="4" w:space="0" w:color="auto"/>
              <w:bottom w:val="single" w:sz="18" w:space="0" w:color="auto"/>
            </w:tcBorders>
            <w:vAlign w:val="center"/>
          </w:tcPr>
          <w:p w14:paraId="39D720CF" w14:textId="77777777" w:rsidR="00FB6EAD" w:rsidRPr="009E0F3B" w:rsidRDefault="00FB6EAD" w:rsidP="00C02DA7">
            <w:pPr>
              <w:jc w:val="center"/>
              <w:rPr>
                <w:rFonts w:ascii="Cambria" w:hAnsi="Cambria"/>
                <w:lang w:val="en-GB"/>
              </w:rPr>
            </w:pPr>
            <w:r w:rsidRPr="009E0F3B">
              <w:rPr>
                <w:rFonts w:ascii="Cambria" w:hAnsi="Cambria"/>
                <w:lang w:val="en-GB"/>
              </w:rPr>
              <w:t>631</w:t>
            </w:r>
          </w:p>
        </w:tc>
        <w:tc>
          <w:tcPr>
            <w:tcW w:w="1120" w:type="dxa"/>
            <w:tcBorders>
              <w:top w:val="double" w:sz="4" w:space="0" w:color="auto"/>
              <w:bottom w:val="single" w:sz="18" w:space="0" w:color="auto"/>
            </w:tcBorders>
            <w:vAlign w:val="center"/>
          </w:tcPr>
          <w:p w14:paraId="0D128869" w14:textId="77777777" w:rsidR="00FB6EAD" w:rsidRPr="009E0F3B" w:rsidRDefault="00FB6EAD" w:rsidP="00C02DA7">
            <w:pPr>
              <w:jc w:val="center"/>
              <w:rPr>
                <w:rFonts w:ascii="Cambria" w:hAnsi="Cambria"/>
                <w:lang w:val="en-GB"/>
              </w:rPr>
            </w:pPr>
            <w:r w:rsidRPr="009E0F3B">
              <w:rPr>
                <w:rFonts w:ascii="Cambria" w:hAnsi="Cambria"/>
                <w:lang w:val="en-GB"/>
              </w:rPr>
              <w:t>131</w:t>
            </w:r>
          </w:p>
        </w:tc>
        <w:tc>
          <w:tcPr>
            <w:tcW w:w="807" w:type="dxa"/>
            <w:tcBorders>
              <w:top w:val="double" w:sz="4" w:space="0" w:color="auto"/>
              <w:bottom w:val="single" w:sz="18" w:space="0" w:color="auto"/>
            </w:tcBorders>
            <w:vAlign w:val="center"/>
          </w:tcPr>
          <w:p w14:paraId="1B07DB25" w14:textId="77777777" w:rsidR="00FB6EAD" w:rsidRPr="009E0F3B" w:rsidRDefault="00FB6EAD" w:rsidP="00C02DA7">
            <w:pPr>
              <w:jc w:val="center"/>
              <w:rPr>
                <w:rFonts w:ascii="Cambria" w:hAnsi="Cambria"/>
                <w:lang w:val="en-GB"/>
              </w:rPr>
            </w:pPr>
            <w:r w:rsidRPr="009E0F3B">
              <w:rPr>
                <w:rFonts w:ascii="Cambria" w:hAnsi="Cambria"/>
                <w:lang w:val="en-GB"/>
              </w:rPr>
              <w:t>103</w:t>
            </w:r>
          </w:p>
        </w:tc>
        <w:tc>
          <w:tcPr>
            <w:tcW w:w="1896" w:type="dxa"/>
            <w:tcBorders>
              <w:top w:val="double" w:sz="4" w:space="0" w:color="auto"/>
              <w:bottom w:val="single" w:sz="18" w:space="0" w:color="auto"/>
            </w:tcBorders>
            <w:vAlign w:val="center"/>
          </w:tcPr>
          <w:p w14:paraId="176EDA5C" w14:textId="77777777" w:rsidR="00FB6EAD" w:rsidRPr="009E0F3B" w:rsidRDefault="00FB6EAD" w:rsidP="00C02DA7">
            <w:pPr>
              <w:jc w:val="center"/>
              <w:rPr>
                <w:rFonts w:ascii="Cambria" w:hAnsi="Cambria"/>
                <w:lang w:val="en-GB"/>
              </w:rPr>
            </w:pPr>
            <w:r w:rsidRPr="009E0F3B">
              <w:rPr>
                <w:rFonts w:ascii="Cambria" w:hAnsi="Cambria"/>
                <w:lang w:val="en-GB"/>
              </w:rPr>
              <w:t>80</w:t>
            </w:r>
          </w:p>
        </w:tc>
        <w:tc>
          <w:tcPr>
            <w:tcW w:w="1003" w:type="dxa"/>
            <w:tcBorders>
              <w:top w:val="double" w:sz="4" w:space="0" w:color="auto"/>
              <w:bottom w:val="single" w:sz="18" w:space="0" w:color="auto"/>
              <w:right w:val="double" w:sz="4" w:space="0" w:color="auto"/>
            </w:tcBorders>
            <w:vAlign w:val="center"/>
          </w:tcPr>
          <w:p w14:paraId="12BBAC94" w14:textId="77777777" w:rsidR="00FB6EAD" w:rsidRPr="009E0F3B" w:rsidRDefault="00FB6EAD" w:rsidP="00C02DA7">
            <w:pPr>
              <w:jc w:val="center"/>
              <w:rPr>
                <w:rFonts w:ascii="Cambria" w:hAnsi="Cambria"/>
                <w:lang w:val="en-GB"/>
              </w:rPr>
            </w:pPr>
            <w:r w:rsidRPr="009E0F3B">
              <w:rPr>
                <w:rFonts w:ascii="Cambria" w:hAnsi="Cambria"/>
                <w:lang w:val="en-GB"/>
              </w:rPr>
              <w:t>92</w:t>
            </w:r>
          </w:p>
        </w:tc>
        <w:tc>
          <w:tcPr>
            <w:tcW w:w="1047" w:type="dxa"/>
            <w:tcBorders>
              <w:top w:val="double" w:sz="4" w:space="0" w:color="auto"/>
              <w:left w:val="double" w:sz="4" w:space="0" w:color="auto"/>
              <w:bottom w:val="single" w:sz="18" w:space="0" w:color="auto"/>
            </w:tcBorders>
            <w:vAlign w:val="center"/>
          </w:tcPr>
          <w:p w14:paraId="44D8633C" w14:textId="77777777" w:rsidR="00FB6EAD" w:rsidRPr="009E0F3B" w:rsidRDefault="00FB6EAD" w:rsidP="00FB6EAD">
            <w:pPr>
              <w:keepNext/>
              <w:jc w:val="center"/>
              <w:rPr>
                <w:rFonts w:ascii="Cambria" w:hAnsi="Cambria"/>
                <w:b/>
                <w:bCs/>
                <w:lang w:val="en-GB"/>
              </w:rPr>
            </w:pPr>
            <w:r w:rsidRPr="009E0F3B">
              <w:rPr>
                <w:rFonts w:ascii="Cambria" w:hAnsi="Cambria"/>
                <w:b/>
                <w:bCs/>
                <w:lang w:val="en-GB"/>
              </w:rPr>
              <w:t>1037</w:t>
            </w:r>
          </w:p>
        </w:tc>
      </w:tr>
    </w:tbl>
    <w:p w14:paraId="67280468" w14:textId="0B0F7AE7" w:rsidR="00FB6EAD" w:rsidRPr="009E0F3B" w:rsidRDefault="00FB6EAD" w:rsidP="00FB6EAD">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1</w:t>
      </w:r>
      <w:r w:rsidRPr="009E0F3B">
        <w:rPr>
          <w:lang w:val="en-GB"/>
        </w:rPr>
        <w:fldChar w:fldCharType="end"/>
      </w:r>
      <w:r w:rsidRPr="009E0F3B">
        <w:rPr>
          <w:lang w:val="en-GB"/>
        </w:rPr>
        <w:t xml:space="preserve"> Distribution of participants by subject and university</w:t>
      </w:r>
    </w:p>
    <w:p w14:paraId="1F2EE748" w14:textId="45E2AE79" w:rsidR="00AB5505" w:rsidRPr="009E0F3B" w:rsidRDefault="00E21831" w:rsidP="00AB5505">
      <w:pPr>
        <w:jc w:val="both"/>
        <w:rPr>
          <w:rFonts w:ascii="Cambria" w:hAnsi="Cambria"/>
          <w:sz w:val="24"/>
          <w:szCs w:val="24"/>
          <w:lang w:val="en-GB"/>
        </w:rPr>
      </w:pPr>
      <w:r w:rsidRPr="009E0F3B">
        <w:rPr>
          <w:rFonts w:ascii="Cambria" w:hAnsi="Cambria"/>
          <w:sz w:val="24"/>
          <w:szCs w:val="24"/>
          <w:lang w:val="en-GB"/>
        </w:rPr>
        <w:t xml:space="preserve">The distribution of students participating in the research, categorized by university and type of training, is presented in the following table. </w:t>
      </w:r>
    </w:p>
    <w:tbl>
      <w:tblPr>
        <w:tblStyle w:val="Rcsostblzat"/>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3"/>
        <w:gridCol w:w="1701"/>
        <w:gridCol w:w="1775"/>
        <w:gridCol w:w="1060"/>
      </w:tblGrid>
      <w:tr w:rsidR="00E21831" w:rsidRPr="009E0F3B" w14:paraId="03C20120" w14:textId="77777777" w:rsidTr="00C02DA7">
        <w:trPr>
          <w:trHeight w:val="397"/>
        </w:trPr>
        <w:tc>
          <w:tcPr>
            <w:tcW w:w="4513" w:type="dxa"/>
            <w:tcBorders>
              <w:top w:val="single" w:sz="18" w:space="0" w:color="auto"/>
              <w:bottom w:val="double" w:sz="4" w:space="0" w:color="auto"/>
              <w:right w:val="double" w:sz="4" w:space="0" w:color="auto"/>
            </w:tcBorders>
            <w:vAlign w:val="center"/>
          </w:tcPr>
          <w:p w14:paraId="50419E28" w14:textId="77777777" w:rsidR="00E21831" w:rsidRPr="009E0F3B" w:rsidRDefault="00E21831" w:rsidP="00C02DA7">
            <w:pPr>
              <w:rPr>
                <w:rFonts w:ascii="Cambria" w:hAnsi="Cambria"/>
                <w:sz w:val="20"/>
                <w:szCs w:val="20"/>
                <w:lang w:val="en-GB"/>
              </w:rPr>
            </w:pPr>
          </w:p>
        </w:tc>
        <w:tc>
          <w:tcPr>
            <w:tcW w:w="1701" w:type="dxa"/>
            <w:tcBorders>
              <w:top w:val="single" w:sz="18" w:space="0" w:color="auto"/>
              <w:left w:val="double" w:sz="4" w:space="0" w:color="auto"/>
              <w:bottom w:val="double" w:sz="4" w:space="0" w:color="auto"/>
            </w:tcBorders>
            <w:vAlign w:val="center"/>
          </w:tcPr>
          <w:p w14:paraId="005D4112" w14:textId="3D43470F" w:rsidR="00E21831" w:rsidRPr="009E0F3B" w:rsidRDefault="004E0E73" w:rsidP="00C02DA7">
            <w:pPr>
              <w:jc w:val="center"/>
              <w:rPr>
                <w:rFonts w:ascii="Cambria" w:hAnsi="Cambria"/>
                <w:lang w:val="en-GB"/>
              </w:rPr>
            </w:pPr>
            <w:r w:rsidRPr="009E0F3B">
              <w:rPr>
                <w:rFonts w:ascii="Cambria" w:hAnsi="Cambria"/>
                <w:lang w:val="en-GB"/>
              </w:rPr>
              <w:t>Full-time</w:t>
            </w:r>
          </w:p>
        </w:tc>
        <w:tc>
          <w:tcPr>
            <w:tcW w:w="1775" w:type="dxa"/>
            <w:tcBorders>
              <w:top w:val="single" w:sz="18" w:space="0" w:color="auto"/>
              <w:bottom w:val="double" w:sz="4" w:space="0" w:color="auto"/>
              <w:right w:val="double" w:sz="4" w:space="0" w:color="auto"/>
            </w:tcBorders>
            <w:vAlign w:val="center"/>
          </w:tcPr>
          <w:p w14:paraId="14960F88" w14:textId="7736B14A" w:rsidR="00E21831" w:rsidRPr="009E0F3B" w:rsidRDefault="004E0E73" w:rsidP="00C02DA7">
            <w:pPr>
              <w:jc w:val="center"/>
              <w:rPr>
                <w:rFonts w:ascii="Cambria" w:hAnsi="Cambria"/>
                <w:lang w:val="en-GB"/>
              </w:rPr>
            </w:pPr>
            <w:r w:rsidRPr="009E0F3B">
              <w:rPr>
                <w:rFonts w:ascii="Cambria" w:hAnsi="Cambria"/>
                <w:lang w:val="en-GB"/>
              </w:rPr>
              <w:t>Part-time</w:t>
            </w:r>
          </w:p>
        </w:tc>
        <w:tc>
          <w:tcPr>
            <w:tcW w:w="1060" w:type="dxa"/>
            <w:tcBorders>
              <w:top w:val="single" w:sz="18" w:space="0" w:color="auto"/>
              <w:left w:val="double" w:sz="4" w:space="0" w:color="auto"/>
              <w:bottom w:val="double" w:sz="4" w:space="0" w:color="auto"/>
            </w:tcBorders>
            <w:vAlign w:val="center"/>
          </w:tcPr>
          <w:p w14:paraId="5BDE8C87" w14:textId="1EFBD307" w:rsidR="00E21831" w:rsidRPr="009E0F3B" w:rsidRDefault="004E0E73" w:rsidP="00C02DA7">
            <w:pPr>
              <w:jc w:val="center"/>
              <w:rPr>
                <w:rFonts w:ascii="Cambria" w:hAnsi="Cambria"/>
                <w:b/>
                <w:bCs/>
                <w:lang w:val="en-GB"/>
              </w:rPr>
            </w:pPr>
            <w:r w:rsidRPr="009E0F3B">
              <w:rPr>
                <w:rFonts w:ascii="Cambria" w:hAnsi="Cambria"/>
                <w:b/>
                <w:bCs/>
                <w:lang w:val="en-GB"/>
              </w:rPr>
              <w:t>Total</w:t>
            </w:r>
          </w:p>
        </w:tc>
      </w:tr>
      <w:tr w:rsidR="00E21831" w:rsidRPr="009E0F3B" w14:paraId="2EAD09CA" w14:textId="77777777" w:rsidTr="00C02DA7">
        <w:trPr>
          <w:trHeight w:val="397"/>
        </w:trPr>
        <w:tc>
          <w:tcPr>
            <w:tcW w:w="4513" w:type="dxa"/>
            <w:tcBorders>
              <w:top w:val="double" w:sz="4" w:space="0" w:color="auto"/>
              <w:right w:val="double" w:sz="4" w:space="0" w:color="auto"/>
            </w:tcBorders>
            <w:vAlign w:val="center"/>
          </w:tcPr>
          <w:p w14:paraId="44B1EBC3" w14:textId="5B84E2ED" w:rsidR="00E21831" w:rsidRPr="009E0F3B" w:rsidRDefault="00E21831" w:rsidP="00C02DA7">
            <w:pPr>
              <w:rPr>
                <w:rFonts w:ascii="Cambria" w:hAnsi="Cambria"/>
                <w:sz w:val="20"/>
                <w:szCs w:val="20"/>
                <w:lang w:val="en-GB"/>
              </w:rPr>
            </w:pPr>
            <w:r w:rsidRPr="009E0F3B">
              <w:rPr>
                <w:rFonts w:ascii="Cambria" w:hAnsi="Cambria"/>
                <w:sz w:val="20"/>
                <w:szCs w:val="20"/>
                <w:lang w:val="en-GB"/>
              </w:rPr>
              <w:t>J. Selye University, SK</w:t>
            </w:r>
          </w:p>
        </w:tc>
        <w:tc>
          <w:tcPr>
            <w:tcW w:w="1701" w:type="dxa"/>
            <w:tcBorders>
              <w:top w:val="double" w:sz="4" w:space="0" w:color="auto"/>
              <w:left w:val="double" w:sz="4" w:space="0" w:color="auto"/>
            </w:tcBorders>
            <w:vAlign w:val="center"/>
          </w:tcPr>
          <w:p w14:paraId="78AE6816" w14:textId="77777777" w:rsidR="00E21831" w:rsidRPr="009E0F3B" w:rsidRDefault="00E21831" w:rsidP="00C02DA7">
            <w:pPr>
              <w:jc w:val="center"/>
              <w:rPr>
                <w:rFonts w:ascii="Cambria" w:hAnsi="Cambria"/>
                <w:lang w:val="en-GB"/>
              </w:rPr>
            </w:pPr>
            <w:r w:rsidRPr="009E0F3B">
              <w:rPr>
                <w:rFonts w:ascii="Cambria" w:hAnsi="Cambria"/>
                <w:lang w:val="en-GB"/>
              </w:rPr>
              <w:t>545</w:t>
            </w:r>
          </w:p>
        </w:tc>
        <w:tc>
          <w:tcPr>
            <w:tcW w:w="1775" w:type="dxa"/>
            <w:tcBorders>
              <w:top w:val="double" w:sz="4" w:space="0" w:color="auto"/>
              <w:right w:val="double" w:sz="4" w:space="0" w:color="auto"/>
            </w:tcBorders>
            <w:vAlign w:val="center"/>
          </w:tcPr>
          <w:p w14:paraId="55DC026F" w14:textId="77777777" w:rsidR="00E21831" w:rsidRPr="009E0F3B" w:rsidRDefault="00E21831" w:rsidP="00C02DA7">
            <w:pPr>
              <w:jc w:val="center"/>
              <w:rPr>
                <w:rFonts w:ascii="Cambria" w:hAnsi="Cambria"/>
                <w:lang w:val="en-GB"/>
              </w:rPr>
            </w:pPr>
            <w:r w:rsidRPr="009E0F3B">
              <w:rPr>
                <w:rFonts w:ascii="Cambria" w:hAnsi="Cambria"/>
                <w:lang w:val="en-GB"/>
              </w:rPr>
              <w:t>86</w:t>
            </w:r>
          </w:p>
        </w:tc>
        <w:tc>
          <w:tcPr>
            <w:tcW w:w="1060" w:type="dxa"/>
            <w:tcBorders>
              <w:top w:val="double" w:sz="4" w:space="0" w:color="auto"/>
              <w:left w:val="double" w:sz="4" w:space="0" w:color="auto"/>
            </w:tcBorders>
            <w:vAlign w:val="center"/>
          </w:tcPr>
          <w:p w14:paraId="745652A2" w14:textId="77777777" w:rsidR="00E21831" w:rsidRPr="009E0F3B" w:rsidRDefault="00E21831" w:rsidP="00C02DA7">
            <w:pPr>
              <w:jc w:val="center"/>
              <w:rPr>
                <w:rFonts w:ascii="Cambria" w:hAnsi="Cambria"/>
                <w:lang w:val="en-GB"/>
              </w:rPr>
            </w:pPr>
            <w:r w:rsidRPr="009E0F3B">
              <w:rPr>
                <w:rFonts w:ascii="Cambria" w:hAnsi="Cambria"/>
                <w:lang w:val="en-GB"/>
              </w:rPr>
              <w:t>631</w:t>
            </w:r>
          </w:p>
        </w:tc>
      </w:tr>
      <w:tr w:rsidR="00E21831" w:rsidRPr="009E0F3B" w14:paraId="70243BA6" w14:textId="77777777" w:rsidTr="00C02DA7">
        <w:trPr>
          <w:trHeight w:val="397"/>
        </w:trPr>
        <w:tc>
          <w:tcPr>
            <w:tcW w:w="4513" w:type="dxa"/>
            <w:tcBorders>
              <w:right w:val="double" w:sz="4" w:space="0" w:color="auto"/>
            </w:tcBorders>
            <w:vAlign w:val="center"/>
          </w:tcPr>
          <w:p w14:paraId="3F5D4474" w14:textId="3BA388A6" w:rsidR="00E21831" w:rsidRPr="009E0F3B" w:rsidRDefault="00E21831" w:rsidP="00E21831">
            <w:pPr>
              <w:rPr>
                <w:rFonts w:ascii="Cambria" w:hAnsi="Cambria"/>
                <w:sz w:val="20"/>
                <w:szCs w:val="20"/>
                <w:lang w:val="en-GB"/>
              </w:rPr>
            </w:pPr>
            <w:proofErr w:type="spellStart"/>
            <w:r w:rsidRPr="009E0F3B">
              <w:rPr>
                <w:rFonts w:ascii="Cambria" w:hAnsi="Cambria"/>
                <w:sz w:val="20"/>
                <w:szCs w:val="20"/>
                <w:lang w:val="en-GB"/>
              </w:rPr>
              <w:t>Eszterházy</w:t>
            </w:r>
            <w:proofErr w:type="spellEnd"/>
            <w:r w:rsidRPr="009E0F3B">
              <w:rPr>
                <w:rFonts w:ascii="Cambria" w:hAnsi="Cambria"/>
                <w:sz w:val="20"/>
                <w:szCs w:val="20"/>
                <w:lang w:val="en-GB"/>
              </w:rPr>
              <w:t xml:space="preserve"> </w:t>
            </w:r>
            <w:proofErr w:type="spellStart"/>
            <w:r w:rsidRPr="009E0F3B">
              <w:rPr>
                <w:rFonts w:ascii="Cambria" w:hAnsi="Cambria"/>
                <w:sz w:val="20"/>
                <w:szCs w:val="20"/>
                <w:lang w:val="en-GB"/>
              </w:rPr>
              <w:t>Károly</w:t>
            </w:r>
            <w:proofErr w:type="spellEnd"/>
            <w:r w:rsidRPr="009E0F3B">
              <w:rPr>
                <w:rFonts w:ascii="Cambria" w:hAnsi="Cambria"/>
                <w:sz w:val="20"/>
                <w:szCs w:val="20"/>
                <w:lang w:val="en-GB"/>
              </w:rPr>
              <w:t xml:space="preserve"> Catholic University Eger, HU</w:t>
            </w:r>
          </w:p>
        </w:tc>
        <w:tc>
          <w:tcPr>
            <w:tcW w:w="1701" w:type="dxa"/>
            <w:tcBorders>
              <w:left w:val="double" w:sz="4" w:space="0" w:color="auto"/>
            </w:tcBorders>
            <w:vAlign w:val="center"/>
          </w:tcPr>
          <w:p w14:paraId="7817E736" w14:textId="77777777" w:rsidR="00E21831" w:rsidRPr="009E0F3B" w:rsidRDefault="00E21831" w:rsidP="00C02DA7">
            <w:pPr>
              <w:jc w:val="center"/>
              <w:rPr>
                <w:rFonts w:ascii="Cambria" w:hAnsi="Cambria"/>
                <w:lang w:val="en-GB"/>
              </w:rPr>
            </w:pPr>
            <w:r w:rsidRPr="009E0F3B">
              <w:rPr>
                <w:rFonts w:ascii="Cambria" w:hAnsi="Cambria"/>
                <w:lang w:val="en-GB"/>
              </w:rPr>
              <w:t>81</w:t>
            </w:r>
          </w:p>
        </w:tc>
        <w:tc>
          <w:tcPr>
            <w:tcW w:w="1775" w:type="dxa"/>
            <w:tcBorders>
              <w:right w:val="double" w:sz="4" w:space="0" w:color="auto"/>
            </w:tcBorders>
            <w:vAlign w:val="center"/>
          </w:tcPr>
          <w:p w14:paraId="480DF0FD" w14:textId="77777777" w:rsidR="00E21831" w:rsidRPr="009E0F3B" w:rsidRDefault="00E21831" w:rsidP="00C02DA7">
            <w:pPr>
              <w:jc w:val="center"/>
              <w:rPr>
                <w:rFonts w:ascii="Cambria" w:hAnsi="Cambria"/>
                <w:lang w:val="en-GB"/>
              </w:rPr>
            </w:pPr>
            <w:r w:rsidRPr="009E0F3B">
              <w:rPr>
                <w:rFonts w:ascii="Cambria" w:hAnsi="Cambria"/>
                <w:lang w:val="en-GB"/>
              </w:rPr>
              <w:t>50</w:t>
            </w:r>
          </w:p>
        </w:tc>
        <w:tc>
          <w:tcPr>
            <w:tcW w:w="1060" w:type="dxa"/>
            <w:tcBorders>
              <w:left w:val="double" w:sz="4" w:space="0" w:color="auto"/>
            </w:tcBorders>
            <w:vAlign w:val="center"/>
          </w:tcPr>
          <w:p w14:paraId="59E2E2D0" w14:textId="77777777" w:rsidR="00E21831" w:rsidRPr="009E0F3B" w:rsidRDefault="00E21831" w:rsidP="00C02DA7">
            <w:pPr>
              <w:jc w:val="center"/>
              <w:rPr>
                <w:rFonts w:ascii="Cambria" w:hAnsi="Cambria"/>
                <w:lang w:val="en-GB"/>
              </w:rPr>
            </w:pPr>
            <w:r w:rsidRPr="009E0F3B">
              <w:rPr>
                <w:rFonts w:ascii="Cambria" w:hAnsi="Cambria"/>
                <w:lang w:val="en-GB"/>
              </w:rPr>
              <w:t>131</w:t>
            </w:r>
          </w:p>
        </w:tc>
      </w:tr>
      <w:tr w:rsidR="00E21831" w:rsidRPr="009E0F3B" w14:paraId="56C3834A" w14:textId="77777777" w:rsidTr="00C02DA7">
        <w:trPr>
          <w:trHeight w:val="397"/>
        </w:trPr>
        <w:tc>
          <w:tcPr>
            <w:tcW w:w="4513" w:type="dxa"/>
            <w:tcBorders>
              <w:right w:val="double" w:sz="4" w:space="0" w:color="auto"/>
            </w:tcBorders>
            <w:vAlign w:val="center"/>
          </w:tcPr>
          <w:p w14:paraId="39113356" w14:textId="6D049D62" w:rsidR="00E21831" w:rsidRPr="009E0F3B" w:rsidRDefault="00E21831" w:rsidP="00E21831">
            <w:pPr>
              <w:rPr>
                <w:rFonts w:ascii="Cambria" w:hAnsi="Cambria"/>
                <w:lang w:val="en-GB"/>
              </w:rPr>
            </w:pPr>
            <w:proofErr w:type="spellStart"/>
            <w:r w:rsidRPr="009E0F3B">
              <w:rPr>
                <w:rFonts w:ascii="Cambria" w:hAnsi="Cambria"/>
                <w:lang w:val="en-GB"/>
              </w:rPr>
              <w:t>Partium</w:t>
            </w:r>
            <w:proofErr w:type="spellEnd"/>
            <w:r w:rsidRPr="009E0F3B">
              <w:rPr>
                <w:rFonts w:ascii="Cambria" w:hAnsi="Cambria"/>
                <w:lang w:val="en-GB"/>
              </w:rPr>
              <w:t xml:space="preserve"> Christian University, Oradea, RO</w:t>
            </w:r>
          </w:p>
        </w:tc>
        <w:tc>
          <w:tcPr>
            <w:tcW w:w="1701" w:type="dxa"/>
            <w:tcBorders>
              <w:left w:val="double" w:sz="4" w:space="0" w:color="auto"/>
            </w:tcBorders>
            <w:vAlign w:val="center"/>
          </w:tcPr>
          <w:p w14:paraId="63EB3099" w14:textId="77777777" w:rsidR="00E21831" w:rsidRPr="009E0F3B" w:rsidRDefault="00E21831" w:rsidP="00C02DA7">
            <w:pPr>
              <w:jc w:val="center"/>
              <w:rPr>
                <w:rFonts w:ascii="Cambria" w:hAnsi="Cambria"/>
                <w:lang w:val="en-GB"/>
              </w:rPr>
            </w:pPr>
            <w:r w:rsidRPr="009E0F3B">
              <w:rPr>
                <w:rFonts w:ascii="Cambria" w:hAnsi="Cambria"/>
                <w:lang w:val="en-GB"/>
              </w:rPr>
              <w:t>96</w:t>
            </w:r>
          </w:p>
        </w:tc>
        <w:tc>
          <w:tcPr>
            <w:tcW w:w="1775" w:type="dxa"/>
            <w:tcBorders>
              <w:right w:val="double" w:sz="4" w:space="0" w:color="auto"/>
            </w:tcBorders>
            <w:vAlign w:val="center"/>
          </w:tcPr>
          <w:p w14:paraId="50B44CED" w14:textId="77777777" w:rsidR="00E21831" w:rsidRPr="009E0F3B" w:rsidRDefault="00E21831" w:rsidP="00C02DA7">
            <w:pPr>
              <w:jc w:val="center"/>
              <w:rPr>
                <w:rFonts w:ascii="Cambria" w:hAnsi="Cambria"/>
                <w:lang w:val="en-GB"/>
              </w:rPr>
            </w:pPr>
            <w:r w:rsidRPr="009E0F3B">
              <w:rPr>
                <w:rFonts w:ascii="Cambria" w:hAnsi="Cambria"/>
                <w:lang w:val="en-GB"/>
              </w:rPr>
              <w:t>7</w:t>
            </w:r>
          </w:p>
        </w:tc>
        <w:tc>
          <w:tcPr>
            <w:tcW w:w="1060" w:type="dxa"/>
            <w:tcBorders>
              <w:left w:val="double" w:sz="4" w:space="0" w:color="auto"/>
            </w:tcBorders>
            <w:vAlign w:val="center"/>
          </w:tcPr>
          <w:p w14:paraId="2FF7F6CA" w14:textId="77777777" w:rsidR="00E21831" w:rsidRPr="009E0F3B" w:rsidRDefault="00E21831" w:rsidP="00C02DA7">
            <w:pPr>
              <w:jc w:val="center"/>
              <w:rPr>
                <w:rFonts w:ascii="Cambria" w:hAnsi="Cambria"/>
                <w:lang w:val="en-GB"/>
              </w:rPr>
            </w:pPr>
            <w:r w:rsidRPr="009E0F3B">
              <w:rPr>
                <w:rFonts w:ascii="Cambria" w:hAnsi="Cambria"/>
                <w:lang w:val="en-GB"/>
              </w:rPr>
              <w:t>103</w:t>
            </w:r>
          </w:p>
        </w:tc>
      </w:tr>
      <w:tr w:rsidR="00E21831" w:rsidRPr="009E0F3B" w14:paraId="3E65EA32" w14:textId="77777777" w:rsidTr="00C02DA7">
        <w:trPr>
          <w:trHeight w:val="397"/>
        </w:trPr>
        <w:tc>
          <w:tcPr>
            <w:tcW w:w="4513" w:type="dxa"/>
            <w:tcBorders>
              <w:right w:val="double" w:sz="4" w:space="0" w:color="auto"/>
            </w:tcBorders>
            <w:vAlign w:val="center"/>
          </w:tcPr>
          <w:p w14:paraId="25909AE8" w14:textId="7C58390A" w:rsidR="00E21831" w:rsidRPr="009E0F3B" w:rsidRDefault="00E21831" w:rsidP="00C02DA7">
            <w:pPr>
              <w:rPr>
                <w:rFonts w:ascii="Cambria" w:hAnsi="Cambria"/>
                <w:sz w:val="20"/>
                <w:szCs w:val="20"/>
                <w:lang w:val="en-GB"/>
              </w:rPr>
            </w:pPr>
            <w:r w:rsidRPr="009E0F3B">
              <w:rPr>
                <w:rFonts w:ascii="Cambria" w:hAnsi="Cambria"/>
                <w:sz w:val="20"/>
                <w:szCs w:val="20"/>
                <w:lang w:val="en-GB"/>
              </w:rPr>
              <w:t xml:space="preserve">Ferenc </w:t>
            </w:r>
            <w:proofErr w:type="spellStart"/>
            <w:r w:rsidRPr="009E0F3B">
              <w:rPr>
                <w:rFonts w:ascii="Cambria" w:hAnsi="Cambria"/>
                <w:sz w:val="20"/>
                <w:szCs w:val="20"/>
                <w:lang w:val="en-GB"/>
              </w:rPr>
              <w:t>Rákóczi</w:t>
            </w:r>
            <w:proofErr w:type="spellEnd"/>
            <w:r w:rsidRPr="009E0F3B">
              <w:rPr>
                <w:rFonts w:ascii="Cambria" w:hAnsi="Cambria"/>
                <w:sz w:val="20"/>
                <w:szCs w:val="20"/>
                <w:lang w:val="en-GB"/>
              </w:rPr>
              <w:t xml:space="preserve"> II Transcarpathian Hungarian College, UK</w:t>
            </w:r>
          </w:p>
        </w:tc>
        <w:tc>
          <w:tcPr>
            <w:tcW w:w="1701" w:type="dxa"/>
            <w:tcBorders>
              <w:left w:val="double" w:sz="4" w:space="0" w:color="auto"/>
            </w:tcBorders>
            <w:vAlign w:val="center"/>
          </w:tcPr>
          <w:p w14:paraId="379374C6" w14:textId="77777777" w:rsidR="00E21831" w:rsidRPr="009E0F3B" w:rsidRDefault="00E21831" w:rsidP="00C02DA7">
            <w:pPr>
              <w:jc w:val="center"/>
              <w:rPr>
                <w:rFonts w:ascii="Cambria" w:hAnsi="Cambria"/>
                <w:lang w:val="en-GB"/>
              </w:rPr>
            </w:pPr>
            <w:r w:rsidRPr="009E0F3B">
              <w:rPr>
                <w:rFonts w:ascii="Cambria" w:hAnsi="Cambria"/>
                <w:lang w:val="en-GB"/>
              </w:rPr>
              <w:t>18</w:t>
            </w:r>
          </w:p>
        </w:tc>
        <w:tc>
          <w:tcPr>
            <w:tcW w:w="1775" w:type="dxa"/>
            <w:tcBorders>
              <w:right w:val="double" w:sz="4" w:space="0" w:color="auto"/>
            </w:tcBorders>
            <w:vAlign w:val="center"/>
          </w:tcPr>
          <w:p w14:paraId="2EF39624" w14:textId="77777777" w:rsidR="00E21831" w:rsidRPr="009E0F3B" w:rsidRDefault="00E21831" w:rsidP="00C02DA7">
            <w:pPr>
              <w:jc w:val="center"/>
              <w:rPr>
                <w:rFonts w:ascii="Cambria" w:hAnsi="Cambria"/>
                <w:lang w:val="en-GB"/>
              </w:rPr>
            </w:pPr>
            <w:r w:rsidRPr="009E0F3B">
              <w:rPr>
                <w:rFonts w:ascii="Cambria" w:hAnsi="Cambria"/>
                <w:lang w:val="en-GB"/>
              </w:rPr>
              <w:t>62</w:t>
            </w:r>
          </w:p>
        </w:tc>
        <w:tc>
          <w:tcPr>
            <w:tcW w:w="1060" w:type="dxa"/>
            <w:tcBorders>
              <w:left w:val="double" w:sz="4" w:space="0" w:color="auto"/>
            </w:tcBorders>
            <w:vAlign w:val="center"/>
          </w:tcPr>
          <w:p w14:paraId="51D39E1F" w14:textId="77777777" w:rsidR="00E21831" w:rsidRPr="009E0F3B" w:rsidRDefault="00E21831" w:rsidP="00C02DA7">
            <w:pPr>
              <w:jc w:val="center"/>
              <w:rPr>
                <w:rFonts w:ascii="Cambria" w:hAnsi="Cambria"/>
                <w:lang w:val="en-GB"/>
              </w:rPr>
            </w:pPr>
            <w:r w:rsidRPr="009E0F3B">
              <w:rPr>
                <w:rFonts w:ascii="Cambria" w:hAnsi="Cambria"/>
                <w:lang w:val="en-GB"/>
              </w:rPr>
              <w:t>80</w:t>
            </w:r>
          </w:p>
        </w:tc>
      </w:tr>
      <w:tr w:rsidR="00E21831" w:rsidRPr="009E0F3B" w14:paraId="02C5EBB8" w14:textId="77777777" w:rsidTr="00C02DA7">
        <w:trPr>
          <w:trHeight w:val="397"/>
        </w:trPr>
        <w:tc>
          <w:tcPr>
            <w:tcW w:w="4513" w:type="dxa"/>
            <w:tcBorders>
              <w:right w:val="double" w:sz="4" w:space="0" w:color="auto"/>
            </w:tcBorders>
            <w:vAlign w:val="center"/>
          </w:tcPr>
          <w:p w14:paraId="66D65F52" w14:textId="797D74E2" w:rsidR="00E21831" w:rsidRPr="009E0F3B" w:rsidRDefault="00E21831" w:rsidP="00E21831">
            <w:pPr>
              <w:rPr>
                <w:rFonts w:ascii="Cambria" w:hAnsi="Cambria"/>
                <w:sz w:val="20"/>
                <w:szCs w:val="20"/>
                <w:lang w:val="en-GB"/>
              </w:rPr>
            </w:pPr>
            <w:r w:rsidRPr="009E0F3B">
              <w:rPr>
                <w:rFonts w:ascii="Cambria" w:hAnsi="Cambria"/>
                <w:sz w:val="20"/>
                <w:szCs w:val="20"/>
                <w:lang w:val="en-GB"/>
              </w:rPr>
              <w:t>University of Novi Sad, SR</w:t>
            </w:r>
          </w:p>
        </w:tc>
        <w:tc>
          <w:tcPr>
            <w:tcW w:w="1701" w:type="dxa"/>
            <w:tcBorders>
              <w:left w:val="double" w:sz="4" w:space="0" w:color="auto"/>
            </w:tcBorders>
            <w:vAlign w:val="center"/>
          </w:tcPr>
          <w:p w14:paraId="4913C0DA" w14:textId="77777777" w:rsidR="00E21831" w:rsidRPr="009E0F3B" w:rsidRDefault="00E21831" w:rsidP="00C02DA7">
            <w:pPr>
              <w:jc w:val="center"/>
              <w:rPr>
                <w:rFonts w:ascii="Cambria" w:hAnsi="Cambria"/>
                <w:lang w:val="en-GB"/>
              </w:rPr>
            </w:pPr>
            <w:r w:rsidRPr="009E0F3B">
              <w:rPr>
                <w:rFonts w:ascii="Cambria" w:hAnsi="Cambria"/>
                <w:lang w:val="en-GB"/>
              </w:rPr>
              <w:t>22</w:t>
            </w:r>
          </w:p>
        </w:tc>
        <w:tc>
          <w:tcPr>
            <w:tcW w:w="1775" w:type="dxa"/>
            <w:tcBorders>
              <w:right w:val="double" w:sz="4" w:space="0" w:color="auto"/>
            </w:tcBorders>
            <w:vAlign w:val="center"/>
          </w:tcPr>
          <w:p w14:paraId="15DA52E6" w14:textId="77777777" w:rsidR="00E21831" w:rsidRPr="009E0F3B" w:rsidRDefault="00E21831" w:rsidP="00C02DA7">
            <w:pPr>
              <w:jc w:val="center"/>
              <w:rPr>
                <w:rFonts w:ascii="Cambria" w:hAnsi="Cambria"/>
                <w:lang w:val="en-GB"/>
              </w:rPr>
            </w:pPr>
            <w:r w:rsidRPr="009E0F3B">
              <w:rPr>
                <w:rFonts w:ascii="Cambria" w:hAnsi="Cambria"/>
                <w:lang w:val="en-GB"/>
              </w:rPr>
              <w:t>70</w:t>
            </w:r>
          </w:p>
        </w:tc>
        <w:tc>
          <w:tcPr>
            <w:tcW w:w="1060" w:type="dxa"/>
            <w:tcBorders>
              <w:left w:val="double" w:sz="4" w:space="0" w:color="auto"/>
            </w:tcBorders>
            <w:vAlign w:val="center"/>
          </w:tcPr>
          <w:p w14:paraId="73AB0403" w14:textId="77777777" w:rsidR="00E21831" w:rsidRPr="009E0F3B" w:rsidRDefault="00E21831" w:rsidP="00C02DA7">
            <w:pPr>
              <w:jc w:val="center"/>
              <w:rPr>
                <w:rFonts w:ascii="Cambria" w:hAnsi="Cambria"/>
                <w:lang w:val="en-GB"/>
              </w:rPr>
            </w:pPr>
            <w:r w:rsidRPr="009E0F3B">
              <w:rPr>
                <w:rFonts w:ascii="Cambria" w:hAnsi="Cambria"/>
                <w:lang w:val="en-GB"/>
              </w:rPr>
              <w:t>92</w:t>
            </w:r>
          </w:p>
        </w:tc>
      </w:tr>
      <w:tr w:rsidR="00E21831" w:rsidRPr="009E0F3B" w14:paraId="6DF2A9FA" w14:textId="77777777" w:rsidTr="00C02DA7">
        <w:trPr>
          <w:trHeight w:val="397"/>
        </w:trPr>
        <w:tc>
          <w:tcPr>
            <w:tcW w:w="4513" w:type="dxa"/>
            <w:tcBorders>
              <w:top w:val="double" w:sz="4" w:space="0" w:color="auto"/>
              <w:bottom w:val="single" w:sz="18" w:space="0" w:color="auto"/>
              <w:right w:val="double" w:sz="4" w:space="0" w:color="auto"/>
            </w:tcBorders>
            <w:vAlign w:val="center"/>
          </w:tcPr>
          <w:p w14:paraId="7DF0926F" w14:textId="69698070" w:rsidR="00E21831" w:rsidRPr="009E0F3B" w:rsidRDefault="004E0E73" w:rsidP="00C02DA7">
            <w:pPr>
              <w:rPr>
                <w:rFonts w:ascii="Cambria" w:hAnsi="Cambria"/>
                <w:b/>
                <w:bCs/>
                <w:sz w:val="20"/>
                <w:szCs w:val="20"/>
                <w:lang w:val="en-GB"/>
              </w:rPr>
            </w:pPr>
            <w:r w:rsidRPr="009E0F3B">
              <w:rPr>
                <w:rFonts w:ascii="Cambria" w:hAnsi="Cambria"/>
                <w:b/>
                <w:bCs/>
                <w:sz w:val="20"/>
                <w:szCs w:val="20"/>
                <w:lang w:val="en-GB"/>
              </w:rPr>
              <w:t>Total</w:t>
            </w:r>
          </w:p>
        </w:tc>
        <w:tc>
          <w:tcPr>
            <w:tcW w:w="1701" w:type="dxa"/>
            <w:tcBorders>
              <w:top w:val="double" w:sz="4" w:space="0" w:color="auto"/>
              <w:left w:val="double" w:sz="4" w:space="0" w:color="auto"/>
              <w:bottom w:val="single" w:sz="18" w:space="0" w:color="auto"/>
            </w:tcBorders>
            <w:vAlign w:val="center"/>
          </w:tcPr>
          <w:p w14:paraId="112EAD0E" w14:textId="77777777" w:rsidR="00E21831" w:rsidRPr="009E0F3B" w:rsidRDefault="00E21831" w:rsidP="00C02DA7">
            <w:pPr>
              <w:jc w:val="center"/>
              <w:rPr>
                <w:rFonts w:ascii="Cambria" w:hAnsi="Cambria"/>
                <w:lang w:val="en-GB"/>
              </w:rPr>
            </w:pPr>
            <w:r w:rsidRPr="009E0F3B">
              <w:rPr>
                <w:rFonts w:ascii="Cambria" w:hAnsi="Cambria"/>
                <w:lang w:val="en-GB"/>
              </w:rPr>
              <w:t>762</w:t>
            </w:r>
          </w:p>
        </w:tc>
        <w:tc>
          <w:tcPr>
            <w:tcW w:w="1775" w:type="dxa"/>
            <w:tcBorders>
              <w:top w:val="double" w:sz="4" w:space="0" w:color="auto"/>
              <w:bottom w:val="single" w:sz="18" w:space="0" w:color="auto"/>
              <w:right w:val="double" w:sz="4" w:space="0" w:color="auto"/>
            </w:tcBorders>
            <w:vAlign w:val="center"/>
          </w:tcPr>
          <w:p w14:paraId="46B1BEE3" w14:textId="77777777" w:rsidR="00E21831" w:rsidRPr="009E0F3B" w:rsidRDefault="00E21831" w:rsidP="00C02DA7">
            <w:pPr>
              <w:jc w:val="center"/>
              <w:rPr>
                <w:rFonts w:ascii="Cambria" w:hAnsi="Cambria"/>
                <w:lang w:val="en-GB"/>
              </w:rPr>
            </w:pPr>
            <w:r w:rsidRPr="009E0F3B">
              <w:rPr>
                <w:rFonts w:ascii="Cambria" w:hAnsi="Cambria"/>
                <w:lang w:val="en-GB"/>
              </w:rPr>
              <w:t>275</w:t>
            </w:r>
          </w:p>
        </w:tc>
        <w:tc>
          <w:tcPr>
            <w:tcW w:w="1060" w:type="dxa"/>
            <w:tcBorders>
              <w:top w:val="double" w:sz="4" w:space="0" w:color="auto"/>
              <w:left w:val="double" w:sz="4" w:space="0" w:color="auto"/>
              <w:bottom w:val="single" w:sz="18" w:space="0" w:color="auto"/>
            </w:tcBorders>
            <w:vAlign w:val="center"/>
          </w:tcPr>
          <w:p w14:paraId="2BF4EB46" w14:textId="77777777" w:rsidR="00E21831" w:rsidRPr="009E0F3B" w:rsidRDefault="00E21831" w:rsidP="007E77AD">
            <w:pPr>
              <w:keepNext/>
              <w:jc w:val="center"/>
              <w:rPr>
                <w:rFonts w:ascii="Cambria" w:hAnsi="Cambria"/>
                <w:b/>
                <w:bCs/>
                <w:lang w:val="en-GB"/>
              </w:rPr>
            </w:pPr>
            <w:r w:rsidRPr="009E0F3B">
              <w:rPr>
                <w:rFonts w:ascii="Cambria" w:hAnsi="Cambria"/>
                <w:b/>
                <w:bCs/>
                <w:lang w:val="en-GB"/>
              </w:rPr>
              <w:t>1037</w:t>
            </w:r>
          </w:p>
        </w:tc>
      </w:tr>
    </w:tbl>
    <w:p w14:paraId="2C03A251" w14:textId="26FC3C48" w:rsidR="007456AF" w:rsidRPr="009E0F3B" w:rsidRDefault="007E77AD" w:rsidP="007E77AD">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2</w:t>
      </w:r>
      <w:r w:rsidRPr="009E0F3B">
        <w:rPr>
          <w:lang w:val="en-GB"/>
        </w:rPr>
        <w:fldChar w:fldCharType="end"/>
      </w:r>
      <w:r w:rsidRPr="009E0F3B">
        <w:rPr>
          <w:lang w:val="en-GB"/>
        </w:rPr>
        <w:t xml:space="preserve"> Distribution of participants by university</w:t>
      </w:r>
    </w:p>
    <w:p w14:paraId="6F543514" w14:textId="2EE50CC6" w:rsidR="004E0E73" w:rsidRPr="009E0F3B" w:rsidRDefault="004E0E73" w:rsidP="004E0E73">
      <w:pPr>
        <w:jc w:val="both"/>
        <w:rPr>
          <w:rFonts w:ascii="Cambria" w:hAnsi="Cambria"/>
          <w:sz w:val="24"/>
          <w:szCs w:val="24"/>
          <w:lang w:val="en-GB"/>
        </w:rPr>
      </w:pPr>
      <w:r w:rsidRPr="009E0F3B">
        <w:rPr>
          <w:rFonts w:ascii="Cambria" w:hAnsi="Cambria"/>
          <w:sz w:val="24"/>
          <w:szCs w:val="24"/>
          <w:lang w:val="en-GB"/>
        </w:rPr>
        <w:t>The following table</w:t>
      </w:r>
      <w:r w:rsidR="007E77AD" w:rsidRPr="009E0F3B">
        <w:rPr>
          <w:rFonts w:ascii="Cambria" w:hAnsi="Cambria"/>
          <w:sz w:val="24"/>
          <w:szCs w:val="24"/>
          <w:lang w:val="en-GB"/>
        </w:rPr>
        <w:t xml:space="preserve">, </w:t>
      </w:r>
      <w:proofErr w:type="gramStart"/>
      <w:r w:rsidR="007E77AD" w:rsidRPr="009E0F3B">
        <w:rPr>
          <w:rFonts w:ascii="Cambria" w:hAnsi="Cambria"/>
          <w:sz w:val="24"/>
          <w:szCs w:val="24"/>
          <w:lang w:val="en-GB"/>
        </w:rPr>
        <w:t>last but not least</w:t>
      </w:r>
      <w:proofErr w:type="gramEnd"/>
      <w:r w:rsidR="007E77AD" w:rsidRPr="009E0F3B">
        <w:rPr>
          <w:rFonts w:ascii="Cambria" w:hAnsi="Cambria"/>
          <w:sz w:val="24"/>
          <w:szCs w:val="24"/>
          <w:lang w:val="en-GB"/>
        </w:rPr>
        <w:t xml:space="preserve">, portrays the distribution of participants on the basis of their university and </w:t>
      </w:r>
      <w:r w:rsidR="00FA206A" w:rsidRPr="009E0F3B">
        <w:rPr>
          <w:rFonts w:ascii="Cambria" w:hAnsi="Cambria"/>
          <w:sz w:val="24"/>
          <w:szCs w:val="24"/>
          <w:lang w:val="en-GB"/>
        </w:rPr>
        <w:t>sex</w:t>
      </w:r>
      <w:r w:rsidR="007E77AD" w:rsidRPr="009E0F3B">
        <w:rPr>
          <w:rFonts w:ascii="Cambria" w:hAnsi="Cambria"/>
          <w:sz w:val="24"/>
          <w:szCs w:val="24"/>
          <w:lang w:val="en-GB"/>
        </w:rPr>
        <w:t xml:space="preserve">. </w:t>
      </w:r>
    </w:p>
    <w:tbl>
      <w:tblPr>
        <w:tblStyle w:val="Rcsostblzat"/>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79"/>
        <w:gridCol w:w="2268"/>
        <w:gridCol w:w="2342"/>
        <w:gridCol w:w="1060"/>
      </w:tblGrid>
      <w:tr w:rsidR="003468D0" w:rsidRPr="009E0F3B" w14:paraId="7E35E10A" w14:textId="77777777" w:rsidTr="00C02DA7">
        <w:trPr>
          <w:trHeight w:val="454"/>
        </w:trPr>
        <w:tc>
          <w:tcPr>
            <w:tcW w:w="3379" w:type="dxa"/>
            <w:tcBorders>
              <w:top w:val="single" w:sz="18" w:space="0" w:color="auto"/>
              <w:bottom w:val="double" w:sz="4" w:space="0" w:color="auto"/>
              <w:right w:val="double" w:sz="4" w:space="0" w:color="auto"/>
            </w:tcBorders>
            <w:vAlign w:val="center"/>
          </w:tcPr>
          <w:p w14:paraId="46B093BC" w14:textId="77777777" w:rsidR="003468D0" w:rsidRPr="009E0F3B" w:rsidRDefault="003468D0" w:rsidP="00C02DA7">
            <w:pPr>
              <w:rPr>
                <w:lang w:val="en-GB"/>
              </w:rPr>
            </w:pPr>
          </w:p>
        </w:tc>
        <w:tc>
          <w:tcPr>
            <w:tcW w:w="2268" w:type="dxa"/>
            <w:tcBorders>
              <w:top w:val="single" w:sz="18" w:space="0" w:color="auto"/>
              <w:left w:val="double" w:sz="4" w:space="0" w:color="auto"/>
              <w:bottom w:val="double" w:sz="4" w:space="0" w:color="auto"/>
            </w:tcBorders>
            <w:vAlign w:val="center"/>
          </w:tcPr>
          <w:p w14:paraId="7F20717A" w14:textId="47A1D255" w:rsidR="003468D0" w:rsidRPr="009E0F3B" w:rsidRDefault="003468D0" w:rsidP="00C02DA7">
            <w:pPr>
              <w:jc w:val="center"/>
              <w:rPr>
                <w:lang w:val="en-GB"/>
              </w:rPr>
            </w:pPr>
            <w:r w:rsidRPr="009E0F3B">
              <w:rPr>
                <w:lang w:val="en-GB"/>
              </w:rPr>
              <w:t>Male</w:t>
            </w:r>
          </w:p>
        </w:tc>
        <w:tc>
          <w:tcPr>
            <w:tcW w:w="2342" w:type="dxa"/>
            <w:tcBorders>
              <w:top w:val="single" w:sz="18" w:space="0" w:color="auto"/>
              <w:bottom w:val="double" w:sz="4" w:space="0" w:color="auto"/>
              <w:right w:val="double" w:sz="4" w:space="0" w:color="auto"/>
            </w:tcBorders>
            <w:vAlign w:val="center"/>
          </w:tcPr>
          <w:p w14:paraId="1AAE61E3" w14:textId="3AC27181" w:rsidR="003468D0" w:rsidRPr="009E0F3B" w:rsidRDefault="003468D0" w:rsidP="00C02DA7">
            <w:pPr>
              <w:jc w:val="center"/>
              <w:rPr>
                <w:lang w:val="en-GB"/>
              </w:rPr>
            </w:pPr>
            <w:r w:rsidRPr="009E0F3B">
              <w:rPr>
                <w:lang w:val="en-GB"/>
              </w:rPr>
              <w:t>Female</w:t>
            </w:r>
          </w:p>
        </w:tc>
        <w:tc>
          <w:tcPr>
            <w:tcW w:w="1060" w:type="dxa"/>
            <w:tcBorders>
              <w:top w:val="single" w:sz="18" w:space="0" w:color="auto"/>
              <w:left w:val="double" w:sz="4" w:space="0" w:color="auto"/>
              <w:bottom w:val="double" w:sz="4" w:space="0" w:color="auto"/>
            </w:tcBorders>
            <w:vAlign w:val="center"/>
          </w:tcPr>
          <w:p w14:paraId="2EEE1204" w14:textId="1FD59962" w:rsidR="003468D0" w:rsidRPr="009E0F3B" w:rsidRDefault="003468D0" w:rsidP="00C02DA7">
            <w:pPr>
              <w:jc w:val="center"/>
              <w:rPr>
                <w:b/>
                <w:bCs/>
                <w:lang w:val="en-GB"/>
              </w:rPr>
            </w:pPr>
            <w:r w:rsidRPr="009E0F3B">
              <w:rPr>
                <w:b/>
                <w:bCs/>
                <w:lang w:val="en-GB"/>
              </w:rPr>
              <w:t>Total</w:t>
            </w:r>
          </w:p>
        </w:tc>
      </w:tr>
      <w:tr w:rsidR="003468D0" w:rsidRPr="009E0F3B" w14:paraId="624EB9CD" w14:textId="77777777" w:rsidTr="00C02DA7">
        <w:trPr>
          <w:trHeight w:val="454"/>
        </w:trPr>
        <w:tc>
          <w:tcPr>
            <w:tcW w:w="3379" w:type="dxa"/>
            <w:tcBorders>
              <w:top w:val="double" w:sz="4" w:space="0" w:color="auto"/>
              <w:right w:val="double" w:sz="4" w:space="0" w:color="auto"/>
            </w:tcBorders>
            <w:vAlign w:val="center"/>
          </w:tcPr>
          <w:p w14:paraId="740748AC" w14:textId="5445000E" w:rsidR="003468D0" w:rsidRPr="009E0F3B" w:rsidRDefault="003468D0" w:rsidP="003468D0">
            <w:pPr>
              <w:rPr>
                <w:lang w:val="en-GB"/>
              </w:rPr>
            </w:pPr>
            <w:r w:rsidRPr="009E0F3B">
              <w:rPr>
                <w:rFonts w:ascii="Cambria" w:hAnsi="Cambria"/>
                <w:sz w:val="20"/>
                <w:szCs w:val="20"/>
                <w:lang w:val="en-GB"/>
              </w:rPr>
              <w:t>J. Selye University, SK</w:t>
            </w:r>
          </w:p>
        </w:tc>
        <w:tc>
          <w:tcPr>
            <w:tcW w:w="2268" w:type="dxa"/>
            <w:tcBorders>
              <w:top w:val="double" w:sz="4" w:space="0" w:color="auto"/>
              <w:left w:val="double" w:sz="4" w:space="0" w:color="auto"/>
            </w:tcBorders>
            <w:vAlign w:val="center"/>
          </w:tcPr>
          <w:p w14:paraId="567BDB0E" w14:textId="77777777" w:rsidR="003468D0" w:rsidRPr="009E0F3B" w:rsidRDefault="003468D0" w:rsidP="003468D0">
            <w:pPr>
              <w:jc w:val="center"/>
              <w:rPr>
                <w:lang w:val="en-GB"/>
              </w:rPr>
            </w:pPr>
            <w:r w:rsidRPr="009E0F3B">
              <w:rPr>
                <w:lang w:val="en-GB"/>
              </w:rPr>
              <w:t>213</w:t>
            </w:r>
          </w:p>
        </w:tc>
        <w:tc>
          <w:tcPr>
            <w:tcW w:w="2342" w:type="dxa"/>
            <w:tcBorders>
              <w:top w:val="double" w:sz="4" w:space="0" w:color="auto"/>
              <w:right w:val="double" w:sz="4" w:space="0" w:color="auto"/>
            </w:tcBorders>
            <w:vAlign w:val="center"/>
          </w:tcPr>
          <w:p w14:paraId="688F8991" w14:textId="77777777" w:rsidR="003468D0" w:rsidRPr="009E0F3B" w:rsidRDefault="003468D0" w:rsidP="003468D0">
            <w:pPr>
              <w:jc w:val="center"/>
              <w:rPr>
                <w:lang w:val="en-GB"/>
              </w:rPr>
            </w:pPr>
            <w:r w:rsidRPr="009E0F3B">
              <w:rPr>
                <w:lang w:val="en-GB"/>
              </w:rPr>
              <w:t>418</w:t>
            </w:r>
          </w:p>
        </w:tc>
        <w:tc>
          <w:tcPr>
            <w:tcW w:w="1060" w:type="dxa"/>
            <w:tcBorders>
              <w:top w:val="double" w:sz="4" w:space="0" w:color="auto"/>
              <w:left w:val="double" w:sz="4" w:space="0" w:color="auto"/>
            </w:tcBorders>
            <w:vAlign w:val="center"/>
          </w:tcPr>
          <w:p w14:paraId="659D6594" w14:textId="77777777" w:rsidR="003468D0" w:rsidRPr="009E0F3B" w:rsidRDefault="003468D0" w:rsidP="003468D0">
            <w:pPr>
              <w:jc w:val="center"/>
              <w:rPr>
                <w:lang w:val="en-GB"/>
              </w:rPr>
            </w:pPr>
            <w:r w:rsidRPr="009E0F3B">
              <w:rPr>
                <w:lang w:val="en-GB"/>
              </w:rPr>
              <w:t>631</w:t>
            </w:r>
          </w:p>
        </w:tc>
      </w:tr>
      <w:tr w:rsidR="003468D0" w:rsidRPr="009E0F3B" w14:paraId="0C44AB38" w14:textId="77777777" w:rsidTr="00C02DA7">
        <w:trPr>
          <w:trHeight w:val="454"/>
        </w:trPr>
        <w:tc>
          <w:tcPr>
            <w:tcW w:w="3379" w:type="dxa"/>
            <w:tcBorders>
              <w:right w:val="double" w:sz="4" w:space="0" w:color="auto"/>
            </w:tcBorders>
            <w:vAlign w:val="center"/>
          </w:tcPr>
          <w:p w14:paraId="013AE1EA" w14:textId="46E1AFCA" w:rsidR="003468D0" w:rsidRPr="009E0F3B" w:rsidRDefault="003468D0" w:rsidP="003468D0">
            <w:pPr>
              <w:rPr>
                <w:lang w:val="en-GB"/>
              </w:rPr>
            </w:pPr>
            <w:proofErr w:type="spellStart"/>
            <w:r w:rsidRPr="009E0F3B">
              <w:rPr>
                <w:rFonts w:ascii="Cambria" w:hAnsi="Cambria"/>
                <w:sz w:val="20"/>
                <w:szCs w:val="20"/>
                <w:lang w:val="en-GB"/>
              </w:rPr>
              <w:t>Eszterházy</w:t>
            </w:r>
            <w:proofErr w:type="spellEnd"/>
            <w:r w:rsidRPr="009E0F3B">
              <w:rPr>
                <w:rFonts w:ascii="Cambria" w:hAnsi="Cambria"/>
                <w:sz w:val="20"/>
                <w:szCs w:val="20"/>
                <w:lang w:val="en-GB"/>
              </w:rPr>
              <w:t xml:space="preserve"> </w:t>
            </w:r>
            <w:proofErr w:type="spellStart"/>
            <w:r w:rsidRPr="009E0F3B">
              <w:rPr>
                <w:rFonts w:ascii="Cambria" w:hAnsi="Cambria"/>
                <w:sz w:val="20"/>
                <w:szCs w:val="20"/>
                <w:lang w:val="en-GB"/>
              </w:rPr>
              <w:t>Károly</w:t>
            </w:r>
            <w:proofErr w:type="spellEnd"/>
            <w:r w:rsidRPr="009E0F3B">
              <w:rPr>
                <w:rFonts w:ascii="Cambria" w:hAnsi="Cambria"/>
                <w:sz w:val="20"/>
                <w:szCs w:val="20"/>
                <w:lang w:val="en-GB"/>
              </w:rPr>
              <w:t xml:space="preserve"> Catholic University Eger, HU</w:t>
            </w:r>
          </w:p>
        </w:tc>
        <w:tc>
          <w:tcPr>
            <w:tcW w:w="2268" w:type="dxa"/>
            <w:tcBorders>
              <w:left w:val="double" w:sz="4" w:space="0" w:color="auto"/>
            </w:tcBorders>
            <w:vAlign w:val="center"/>
          </w:tcPr>
          <w:p w14:paraId="4AF98BD3" w14:textId="77777777" w:rsidR="003468D0" w:rsidRPr="009E0F3B" w:rsidRDefault="003468D0" w:rsidP="003468D0">
            <w:pPr>
              <w:jc w:val="center"/>
              <w:rPr>
                <w:lang w:val="en-GB"/>
              </w:rPr>
            </w:pPr>
            <w:r w:rsidRPr="009E0F3B">
              <w:rPr>
                <w:lang w:val="en-GB"/>
              </w:rPr>
              <w:t>46</w:t>
            </w:r>
          </w:p>
        </w:tc>
        <w:tc>
          <w:tcPr>
            <w:tcW w:w="2342" w:type="dxa"/>
            <w:tcBorders>
              <w:right w:val="double" w:sz="4" w:space="0" w:color="auto"/>
            </w:tcBorders>
            <w:vAlign w:val="center"/>
          </w:tcPr>
          <w:p w14:paraId="6275F1DF" w14:textId="77777777" w:rsidR="003468D0" w:rsidRPr="009E0F3B" w:rsidRDefault="003468D0" w:rsidP="003468D0">
            <w:pPr>
              <w:jc w:val="center"/>
              <w:rPr>
                <w:lang w:val="en-GB"/>
              </w:rPr>
            </w:pPr>
            <w:r w:rsidRPr="009E0F3B">
              <w:rPr>
                <w:lang w:val="en-GB"/>
              </w:rPr>
              <w:t>85</w:t>
            </w:r>
          </w:p>
        </w:tc>
        <w:tc>
          <w:tcPr>
            <w:tcW w:w="1060" w:type="dxa"/>
            <w:tcBorders>
              <w:left w:val="double" w:sz="4" w:space="0" w:color="auto"/>
            </w:tcBorders>
            <w:vAlign w:val="center"/>
          </w:tcPr>
          <w:p w14:paraId="61CCE39B" w14:textId="77777777" w:rsidR="003468D0" w:rsidRPr="009E0F3B" w:rsidRDefault="003468D0" w:rsidP="003468D0">
            <w:pPr>
              <w:jc w:val="center"/>
              <w:rPr>
                <w:lang w:val="en-GB"/>
              </w:rPr>
            </w:pPr>
            <w:r w:rsidRPr="009E0F3B">
              <w:rPr>
                <w:lang w:val="en-GB"/>
              </w:rPr>
              <w:t>131</w:t>
            </w:r>
          </w:p>
        </w:tc>
      </w:tr>
      <w:tr w:rsidR="003468D0" w:rsidRPr="009E0F3B" w14:paraId="53CC8B24" w14:textId="77777777" w:rsidTr="00C02DA7">
        <w:trPr>
          <w:trHeight w:val="454"/>
        </w:trPr>
        <w:tc>
          <w:tcPr>
            <w:tcW w:w="3379" w:type="dxa"/>
            <w:tcBorders>
              <w:right w:val="double" w:sz="4" w:space="0" w:color="auto"/>
            </w:tcBorders>
            <w:vAlign w:val="center"/>
          </w:tcPr>
          <w:p w14:paraId="41694B20" w14:textId="37883D54" w:rsidR="003468D0" w:rsidRPr="009E0F3B" w:rsidRDefault="003468D0" w:rsidP="003468D0">
            <w:pPr>
              <w:rPr>
                <w:lang w:val="en-GB"/>
              </w:rPr>
            </w:pPr>
            <w:proofErr w:type="spellStart"/>
            <w:r w:rsidRPr="009E0F3B">
              <w:rPr>
                <w:rFonts w:ascii="Cambria" w:hAnsi="Cambria"/>
                <w:lang w:val="en-GB"/>
              </w:rPr>
              <w:t>Partium</w:t>
            </w:r>
            <w:proofErr w:type="spellEnd"/>
            <w:r w:rsidRPr="009E0F3B">
              <w:rPr>
                <w:rFonts w:ascii="Cambria" w:hAnsi="Cambria"/>
                <w:lang w:val="en-GB"/>
              </w:rPr>
              <w:t xml:space="preserve"> Christian University, Oradea, RO</w:t>
            </w:r>
          </w:p>
        </w:tc>
        <w:tc>
          <w:tcPr>
            <w:tcW w:w="2268" w:type="dxa"/>
            <w:tcBorders>
              <w:left w:val="double" w:sz="4" w:space="0" w:color="auto"/>
            </w:tcBorders>
            <w:vAlign w:val="center"/>
          </w:tcPr>
          <w:p w14:paraId="7F73E4E9" w14:textId="77777777" w:rsidR="003468D0" w:rsidRPr="009E0F3B" w:rsidRDefault="003468D0" w:rsidP="003468D0">
            <w:pPr>
              <w:jc w:val="center"/>
              <w:rPr>
                <w:lang w:val="en-GB"/>
              </w:rPr>
            </w:pPr>
            <w:r w:rsidRPr="009E0F3B">
              <w:rPr>
                <w:lang w:val="en-GB"/>
              </w:rPr>
              <w:t>59</w:t>
            </w:r>
          </w:p>
        </w:tc>
        <w:tc>
          <w:tcPr>
            <w:tcW w:w="2342" w:type="dxa"/>
            <w:tcBorders>
              <w:right w:val="double" w:sz="4" w:space="0" w:color="auto"/>
            </w:tcBorders>
            <w:vAlign w:val="center"/>
          </w:tcPr>
          <w:p w14:paraId="1C21BA21" w14:textId="77777777" w:rsidR="003468D0" w:rsidRPr="009E0F3B" w:rsidRDefault="003468D0" w:rsidP="003468D0">
            <w:pPr>
              <w:jc w:val="center"/>
              <w:rPr>
                <w:lang w:val="en-GB"/>
              </w:rPr>
            </w:pPr>
            <w:r w:rsidRPr="009E0F3B">
              <w:rPr>
                <w:lang w:val="en-GB"/>
              </w:rPr>
              <w:t>44</w:t>
            </w:r>
          </w:p>
        </w:tc>
        <w:tc>
          <w:tcPr>
            <w:tcW w:w="1060" w:type="dxa"/>
            <w:tcBorders>
              <w:left w:val="double" w:sz="4" w:space="0" w:color="auto"/>
            </w:tcBorders>
            <w:vAlign w:val="center"/>
          </w:tcPr>
          <w:p w14:paraId="54EE44A7" w14:textId="77777777" w:rsidR="003468D0" w:rsidRPr="009E0F3B" w:rsidRDefault="003468D0" w:rsidP="003468D0">
            <w:pPr>
              <w:jc w:val="center"/>
              <w:rPr>
                <w:lang w:val="en-GB"/>
              </w:rPr>
            </w:pPr>
            <w:r w:rsidRPr="009E0F3B">
              <w:rPr>
                <w:lang w:val="en-GB"/>
              </w:rPr>
              <w:t>103</w:t>
            </w:r>
          </w:p>
        </w:tc>
      </w:tr>
      <w:tr w:rsidR="003468D0" w:rsidRPr="009E0F3B" w14:paraId="473E3E0D" w14:textId="77777777" w:rsidTr="00C02DA7">
        <w:trPr>
          <w:trHeight w:val="454"/>
        </w:trPr>
        <w:tc>
          <w:tcPr>
            <w:tcW w:w="3379" w:type="dxa"/>
            <w:tcBorders>
              <w:right w:val="double" w:sz="4" w:space="0" w:color="auto"/>
            </w:tcBorders>
            <w:vAlign w:val="center"/>
          </w:tcPr>
          <w:p w14:paraId="6902C110" w14:textId="68EB2CE8" w:rsidR="003468D0" w:rsidRPr="009E0F3B" w:rsidRDefault="003468D0" w:rsidP="003468D0">
            <w:pPr>
              <w:rPr>
                <w:lang w:val="en-GB"/>
              </w:rPr>
            </w:pPr>
            <w:r w:rsidRPr="009E0F3B">
              <w:rPr>
                <w:rFonts w:ascii="Cambria" w:hAnsi="Cambria"/>
                <w:sz w:val="20"/>
                <w:szCs w:val="20"/>
                <w:lang w:val="en-GB"/>
              </w:rPr>
              <w:t xml:space="preserve">Ferenc </w:t>
            </w:r>
            <w:proofErr w:type="spellStart"/>
            <w:r w:rsidRPr="009E0F3B">
              <w:rPr>
                <w:rFonts w:ascii="Cambria" w:hAnsi="Cambria"/>
                <w:sz w:val="20"/>
                <w:szCs w:val="20"/>
                <w:lang w:val="en-GB"/>
              </w:rPr>
              <w:t>Rákóczi</w:t>
            </w:r>
            <w:proofErr w:type="spellEnd"/>
            <w:r w:rsidRPr="009E0F3B">
              <w:rPr>
                <w:rFonts w:ascii="Cambria" w:hAnsi="Cambria"/>
                <w:sz w:val="20"/>
                <w:szCs w:val="20"/>
                <w:lang w:val="en-GB"/>
              </w:rPr>
              <w:t xml:space="preserve"> II Transcarpathian Hungarian College, UK</w:t>
            </w:r>
          </w:p>
        </w:tc>
        <w:tc>
          <w:tcPr>
            <w:tcW w:w="2268" w:type="dxa"/>
            <w:tcBorders>
              <w:left w:val="double" w:sz="4" w:space="0" w:color="auto"/>
            </w:tcBorders>
            <w:vAlign w:val="center"/>
          </w:tcPr>
          <w:p w14:paraId="29B56C9D" w14:textId="77777777" w:rsidR="003468D0" w:rsidRPr="009E0F3B" w:rsidRDefault="003468D0" w:rsidP="003468D0">
            <w:pPr>
              <w:jc w:val="center"/>
              <w:rPr>
                <w:lang w:val="en-GB"/>
              </w:rPr>
            </w:pPr>
            <w:r w:rsidRPr="009E0F3B">
              <w:rPr>
                <w:lang w:val="en-GB"/>
              </w:rPr>
              <w:t>12</w:t>
            </w:r>
          </w:p>
        </w:tc>
        <w:tc>
          <w:tcPr>
            <w:tcW w:w="2342" w:type="dxa"/>
            <w:tcBorders>
              <w:right w:val="double" w:sz="4" w:space="0" w:color="auto"/>
            </w:tcBorders>
            <w:vAlign w:val="center"/>
          </w:tcPr>
          <w:p w14:paraId="301488CB" w14:textId="77777777" w:rsidR="003468D0" w:rsidRPr="009E0F3B" w:rsidRDefault="003468D0" w:rsidP="003468D0">
            <w:pPr>
              <w:jc w:val="center"/>
              <w:rPr>
                <w:lang w:val="en-GB"/>
              </w:rPr>
            </w:pPr>
            <w:r w:rsidRPr="009E0F3B">
              <w:rPr>
                <w:lang w:val="en-GB"/>
              </w:rPr>
              <w:t>68</w:t>
            </w:r>
          </w:p>
        </w:tc>
        <w:tc>
          <w:tcPr>
            <w:tcW w:w="1060" w:type="dxa"/>
            <w:tcBorders>
              <w:left w:val="double" w:sz="4" w:space="0" w:color="auto"/>
            </w:tcBorders>
            <w:vAlign w:val="center"/>
          </w:tcPr>
          <w:p w14:paraId="1ED0B1B5" w14:textId="77777777" w:rsidR="003468D0" w:rsidRPr="009E0F3B" w:rsidRDefault="003468D0" w:rsidP="003468D0">
            <w:pPr>
              <w:jc w:val="center"/>
              <w:rPr>
                <w:lang w:val="en-GB"/>
              </w:rPr>
            </w:pPr>
            <w:r w:rsidRPr="009E0F3B">
              <w:rPr>
                <w:lang w:val="en-GB"/>
              </w:rPr>
              <w:t>80</w:t>
            </w:r>
          </w:p>
        </w:tc>
      </w:tr>
      <w:tr w:rsidR="003468D0" w:rsidRPr="009E0F3B" w14:paraId="63A12463" w14:textId="77777777" w:rsidTr="00C02DA7">
        <w:trPr>
          <w:trHeight w:val="454"/>
        </w:trPr>
        <w:tc>
          <w:tcPr>
            <w:tcW w:w="3379" w:type="dxa"/>
            <w:tcBorders>
              <w:right w:val="double" w:sz="4" w:space="0" w:color="auto"/>
            </w:tcBorders>
            <w:vAlign w:val="center"/>
          </w:tcPr>
          <w:p w14:paraId="39DF55A2" w14:textId="622426B0" w:rsidR="003468D0" w:rsidRPr="009E0F3B" w:rsidRDefault="003468D0" w:rsidP="003468D0">
            <w:pPr>
              <w:rPr>
                <w:lang w:val="en-GB"/>
              </w:rPr>
            </w:pPr>
            <w:r w:rsidRPr="009E0F3B">
              <w:rPr>
                <w:rFonts w:ascii="Cambria" w:hAnsi="Cambria"/>
                <w:sz w:val="20"/>
                <w:szCs w:val="20"/>
                <w:lang w:val="en-GB"/>
              </w:rPr>
              <w:lastRenderedPageBreak/>
              <w:t>University of Novi Sad, SR</w:t>
            </w:r>
          </w:p>
        </w:tc>
        <w:tc>
          <w:tcPr>
            <w:tcW w:w="2268" w:type="dxa"/>
            <w:tcBorders>
              <w:left w:val="double" w:sz="4" w:space="0" w:color="auto"/>
            </w:tcBorders>
            <w:vAlign w:val="center"/>
          </w:tcPr>
          <w:p w14:paraId="47E50AAF" w14:textId="77777777" w:rsidR="003468D0" w:rsidRPr="009E0F3B" w:rsidRDefault="003468D0" w:rsidP="003468D0">
            <w:pPr>
              <w:jc w:val="center"/>
              <w:rPr>
                <w:lang w:val="en-GB"/>
              </w:rPr>
            </w:pPr>
            <w:r w:rsidRPr="009E0F3B">
              <w:rPr>
                <w:lang w:val="en-GB"/>
              </w:rPr>
              <w:t>10</w:t>
            </w:r>
          </w:p>
        </w:tc>
        <w:tc>
          <w:tcPr>
            <w:tcW w:w="2342" w:type="dxa"/>
            <w:tcBorders>
              <w:right w:val="double" w:sz="4" w:space="0" w:color="auto"/>
            </w:tcBorders>
            <w:vAlign w:val="center"/>
          </w:tcPr>
          <w:p w14:paraId="38D7A574" w14:textId="77777777" w:rsidR="003468D0" w:rsidRPr="009E0F3B" w:rsidRDefault="003468D0" w:rsidP="003468D0">
            <w:pPr>
              <w:jc w:val="center"/>
              <w:rPr>
                <w:lang w:val="en-GB"/>
              </w:rPr>
            </w:pPr>
            <w:r w:rsidRPr="009E0F3B">
              <w:rPr>
                <w:lang w:val="en-GB"/>
              </w:rPr>
              <w:t>82</w:t>
            </w:r>
          </w:p>
        </w:tc>
        <w:tc>
          <w:tcPr>
            <w:tcW w:w="1060" w:type="dxa"/>
            <w:tcBorders>
              <w:left w:val="double" w:sz="4" w:space="0" w:color="auto"/>
            </w:tcBorders>
            <w:vAlign w:val="center"/>
          </w:tcPr>
          <w:p w14:paraId="43F330BA" w14:textId="77777777" w:rsidR="003468D0" w:rsidRPr="009E0F3B" w:rsidRDefault="003468D0" w:rsidP="003468D0">
            <w:pPr>
              <w:jc w:val="center"/>
              <w:rPr>
                <w:lang w:val="en-GB"/>
              </w:rPr>
            </w:pPr>
            <w:r w:rsidRPr="009E0F3B">
              <w:rPr>
                <w:lang w:val="en-GB"/>
              </w:rPr>
              <w:t>92</w:t>
            </w:r>
          </w:p>
        </w:tc>
      </w:tr>
      <w:tr w:rsidR="003468D0" w:rsidRPr="009E0F3B" w14:paraId="4F92E47B" w14:textId="77777777" w:rsidTr="00C02DA7">
        <w:trPr>
          <w:trHeight w:val="454"/>
        </w:trPr>
        <w:tc>
          <w:tcPr>
            <w:tcW w:w="3379" w:type="dxa"/>
            <w:tcBorders>
              <w:top w:val="double" w:sz="4" w:space="0" w:color="auto"/>
              <w:bottom w:val="single" w:sz="18" w:space="0" w:color="auto"/>
              <w:right w:val="double" w:sz="4" w:space="0" w:color="auto"/>
            </w:tcBorders>
            <w:vAlign w:val="center"/>
          </w:tcPr>
          <w:p w14:paraId="37FDDB7B" w14:textId="5BDAB186" w:rsidR="003468D0" w:rsidRPr="009E0F3B" w:rsidRDefault="003468D0" w:rsidP="00C02DA7">
            <w:pPr>
              <w:rPr>
                <w:b/>
                <w:bCs/>
                <w:lang w:val="en-GB"/>
              </w:rPr>
            </w:pPr>
            <w:r w:rsidRPr="009E0F3B">
              <w:rPr>
                <w:b/>
                <w:bCs/>
                <w:lang w:val="en-GB"/>
              </w:rPr>
              <w:t>Total</w:t>
            </w:r>
          </w:p>
        </w:tc>
        <w:tc>
          <w:tcPr>
            <w:tcW w:w="2268" w:type="dxa"/>
            <w:tcBorders>
              <w:top w:val="double" w:sz="4" w:space="0" w:color="auto"/>
              <w:left w:val="double" w:sz="4" w:space="0" w:color="auto"/>
              <w:bottom w:val="single" w:sz="18" w:space="0" w:color="auto"/>
            </w:tcBorders>
            <w:vAlign w:val="center"/>
          </w:tcPr>
          <w:p w14:paraId="20D9DEA5" w14:textId="77777777" w:rsidR="003468D0" w:rsidRPr="009E0F3B" w:rsidRDefault="003468D0" w:rsidP="00C02DA7">
            <w:pPr>
              <w:jc w:val="center"/>
              <w:rPr>
                <w:lang w:val="en-GB"/>
              </w:rPr>
            </w:pPr>
            <w:r w:rsidRPr="009E0F3B">
              <w:rPr>
                <w:lang w:val="en-GB"/>
              </w:rPr>
              <w:t>340</w:t>
            </w:r>
          </w:p>
        </w:tc>
        <w:tc>
          <w:tcPr>
            <w:tcW w:w="2342" w:type="dxa"/>
            <w:tcBorders>
              <w:top w:val="double" w:sz="4" w:space="0" w:color="auto"/>
              <w:bottom w:val="single" w:sz="18" w:space="0" w:color="auto"/>
              <w:right w:val="double" w:sz="4" w:space="0" w:color="auto"/>
            </w:tcBorders>
            <w:vAlign w:val="center"/>
          </w:tcPr>
          <w:p w14:paraId="613F1510" w14:textId="77777777" w:rsidR="003468D0" w:rsidRPr="009E0F3B" w:rsidRDefault="003468D0" w:rsidP="00C02DA7">
            <w:pPr>
              <w:jc w:val="center"/>
              <w:rPr>
                <w:lang w:val="en-GB"/>
              </w:rPr>
            </w:pPr>
            <w:r w:rsidRPr="009E0F3B">
              <w:rPr>
                <w:lang w:val="en-GB"/>
              </w:rPr>
              <w:t>697</w:t>
            </w:r>
          </w:p>
        </w:tc>
        <w:tc>
          <w:tcPr>
            <w:tcW w:w="1060" w:type="dxa"/>
            <w:tcBorders>
              <w:top w:val="double" w:sz="4" w:space="0" w:color="auto"/>
              <w:left w:val="double" w:sz="4" w:space="0" w:color="auto"/>
              <w:bottom w:val="single" w:sz="18" w:space="0" w:color="auto"/>
            </w:tcBorders>
            <w:vAlign w:val="center"/>
          </w:tcPr>
          <w:p w14:paraId="4C17FEB3" w14:textId="77777777" w:rsidR="003468D0" w:rsidRPr="009E0F3B" w:rsidRDefault="003468D0" w:rsidP="00FA206A">
            <w:pPr>
              <w:keepNext/>
              <w:jc w:val="center"/>
              <w:rPr>
                <w:b/>
                <w:bCs/>
                <w:lang w:val="en-GB"/>
              </w:rPr>
            </w:pPr>
            <w:r w:rsidRPr="009E0F3B">
              <w:rPr>
                <w:b/>
                <w:bCs/>
                <w:lang w:val="en-GB"/>
              </w:rPr>
              <w:t>1037</w:t>
            </w:r>
          </w:p>
        </w:tc>
      </w:tr>
    </w:tbl>
    <w:p w14:paraId="3B473E48" w14:textId="206F6AC5" w:rsidR="003468D0" w:rsidRPr="009E0F3B" w:rsidRDefault="00FA206A" w:rsidP="00FA206A">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3</w:t>
      </w:r>
      <w:r w:rsidRPr="009E0F3B">
        <w:rPr>
          <w:lang w:val="en-GB"/>
        </w:rPr>
        <w:fldChar w:fldCharType="end"/>
      </w:r>
      <w:r w:rsidRPr="009E0F3B">
        <w:rPr>
          <w:lang w:val="en-GB"/>
        </w:rPr>
        <w:t xml:space="preserve"> Distribution of participants based on sex</w:t>
      </w:r>
    </w:p>
    <w:p w14:paraId="73C40E69" w14:textId="5F7F67C8" w:rsidR="003468D0" w:rsidRPr="009E0F3B" w:rsidRDefault="003468D0" w:rsidP="003468D0">
      <w:pPr>
        <w:jc w:val="both"/>
        <w:rPr>
          <w:rFonts w:ascii="Cambria" w:hAnsi="Cambria"/>
          <w:b/>
          <w:sz w:val="24"/>
          <w:szCs w:val="24"/>
          <w:lang w:val="en-GB"/>
        </w:rPr>
      </w:pPr>
      <w:r w:rsidRPr="009E0F3B">
        <w:rPr>
          <w:rFonts w:ascii="Cambria" w:hAnsi="Cambria"/>
          <w:b/>
          <w:sz w:val="24"/>
          <w:szCs w:val="24"/>
          <w:lang w:val="en-GB"/>
        </w:rPr>
        <w:t>3. Results and Discussion</w:t>
      </w:r>
    </w:p>
    <w:p w14:paraId="6540D37C" w14:textId="3C7E3A5B" w:rsidR="00DE0F1B" w:rsidRPr="009E0F3B" w:rsidRDefault="001D3DCC" w:rsidP="00826E32">
      <w:pPr>
        <w:ind w:firstLine="708"/>
        <w:jc w:val="both"/>
        <w:rPr>
          <w:rFonts w:ascii="Cambria" w:hAnsi="Cambria"/>
          <w:sz w:val="24"/>
          <w:szCs w:val="24"/>
          <w:lang w:val="en-GB"/>
        </w:rPr>
      </w:pPr>
      <w:r w:rsidRPr="009E0F3B">
        <w:rPr>
          <w:rFonts w:ascii="Cambria" w:hAnsi="Cambria"/>
          <w:sz w:val="24"/>
          <w:szCs w:val="24"/>
          <w:lang w:val="en-GB"/>
        </w:rPr>
        <w:t xml:space="preserve">The participants were asked about their opinions regarding the essential qualities of a teacher as authority using three adjectives or attributes. A total of 1,015 students contributed at least one descriptor of what they perceive to be an authoritative educator, while 716 students provided two descriptors, and 451 students offered three. Based on the responses from university students who completed the survey, the predominant characteristics attributed to an authoritative teacher included strictness (185), respectfulness (165), and a combination of firmness, kindness, and helpfulness (134). Additionally, an analysis of the most frequently mentioned characteristics of an authoritative teacher was conducted with respect to </w:t>
      </w:r>
      <w:r w:rsidR="00525B40" w:rsidRPr="009E0F3B">
        <w:rPr>
          <w:rFonts w:ascii="Cambria" w:hAnsi="Cambria"/>
          <w:sz w:val="24"/>
          <w:szCs w:val="24"/>
          <w:lang w:val="en-GB"/>
        </w:rPr>
        <w:t>sex</w:t>
      </w:r>
      <w:r w:rsidRPr="009E0F3B">
        <w:rPr>
          <w:rFonts w:ascii="Cambria" w:hAnsi="Cambria"/>
          <w:sz w:val="24"/>
          <w:szCs w:val="24"/>
          <w:lang w:val="en-GB"/>
        </w:rPr>
        <w:t xml:space="preserve">, with the results detailed in Table 4. </w:t>
      </w:r>
    </w:p>
    <w:tbl>
      <w:tblPr>
        <w:tblStyle w:val="Rcsostblzat"/>
        <w:tblW w:w="9067" w:type="dxa"/>
        <w:tblLook w:val="04A0" w:firstRow="1" w:lastRow="0" w:firstColumn="1" w:lastColumn="0" w:noHBand="0" w:noVBand="1"/>
      </w:tblPr>
      <w:tblGrid>
        <w:gridCol w:w="2689"/>
        <w:gridCol w:w="1984"/>
        <w:gridCol w:w="2126"/>
        <w:gridCol w:w="2268"/>
      </w:tblGrid>
      <w:tr w:rsidR="00B5032B" w:rsidRPr="009E0F3B" w14:paraId="10977E2F" w14:textId="77777777" w:rsidTr="00C02DA7">
        <w:tc>
          <w:tcPr>
            <w:tcW w:w="2689" w:type="dxa"/>
            <w:tcBorders>
              <w:bottom w:val="double" w:sz="4" w:space="0" w:color="auto"/>
              <w:right w:val="double" w:sz="4" w:space="0" w:color="auto"/>
            </w:tcBorders>
            <w:vAlign w:val="center"/>
          </w:tcPr>
          <w:p w14:paraId="78343518" w14:textId="1C0A1620" w:rsidR="00B5032B" w:rsidRPr="009E0F3B" w:rsidRDefault="00B5032B" w:rsidP="00C02DA7">
            <w:pPr>
              <w:jc w:val="center"/>
              <w:rPr>
                <w:rFonts w:ascii="Cambria" w:hAnsi="Cambria"/>
                <w:color w:val="000000" w:themeColor="text1"/>
                <w:lang w:val="en-GB"/>
              </w:rPr>
            </w:pPr>
            <w:r w:rsidRPr="009E0F3B">
              <w:rPr>
                <w:rFonts w:ascii="Cambria" w:hAnsi="Cambria"/>
                <w:lang w:val="en-GB"/>
              </w:rPr>
              <w:t>Descriptors based on participants’ answers</w:t>
            </w:r>
          </w:p>
        </w:tc>
        <w:tc>
          <w:tcPr>
            <w:tcW w:w="1984" w:type="dxa"/>
            <w:tcBorders>
              <w:left w:val="double" w:sz="4" w:space="0" w:color="auto"/>
              <w:bottom w:val="double" w:sz="4" w:space="0" w:color="auto"/>
            </w:tcBorders>
            <w:vAlign w:val="center"/>
          </w:tcPr>
          <w:p w14:paraId="05E5D6A1" w14:textId="77777777"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I.</w:t>
            </w:r>
          </w:p>
        </w:tc>
        <w:tc>
          <w:tcPr>
            <w:tcW w:w="2126" w:type="dxa"/>
            <w:tcBorders>
              <w:bottom w:val="double" w:sz="4" w:space="0" w:color="auto"/>
              <w:right w:val="single" w:sz="4" w:space="0" w:color="auto"/>
            </w:tcBorders>
            <w:vAlign w:val="center"/>
          </w:tcPr>
          <w:p w14:paraId="5D678A2C" w14:textId="77777777"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II.</w:t>
            </w:r>
          </w:p>
        </w:tc>
        <w:tc>
          <w:tcPr>
            <w:tcW w:w="2268" w:type="dxa"/>
            <w:tcBorders>
              <w:left w:val="single" w:sz="4" w:space="0" w:color="auto"/>
              <w:bottom w:val="double" w:sz="4" w:space="0" w:color="auto"/>
            </w:tcBorders>
            <w:vAlign w:val="center"/>
          </w:tcPr>
          <w:p w14:paraId="682C8FDA" w14:textId="77777777" w:rsidR="00B5032B" w:rsidRPr="009E0F3B" w:rsidRDefault="00B5032B" w:rsidP="00C02DA7">
            <w:pPr>
              <w:jc w:val="center"/>
              <w:rPr>
                <w:rFonts w:ascii="Cambria" w:hAnsi="Cambria"/>
                <w:b/>
                <w:bCs/>
                <w:color w:val="000000" w:themeColor="text1"/>
                <w:lang w:val="en-GB"/>
              </w:rPr>
            </w:pPr>
            <w:r w:rsidRPr="009E0F3B">
              <w:rPr>
                <w:rFonts w:ascii="Cambria" w:hAnsi="Cambria"/>
                <w:color w:val="000000" w:themeColor="text1"/>
                <w:lang w:val="en-GB"/>
              </w:rPr>
              <w:t>III.</w:t>
            </w:r>
          </w:p>
        </w:tc>
      </w:tr>
      <w:tr w:rsidR="00B5032B" w:rsidRPr="009E0F3B" w14:paraId="74ED30D6" w14:textId="77777777" w:rsidTr="00C02DA7">
        <w:trPr>
          <w:trHeight w:val="680"/>
        </w:trPr>
        <w:tc>
          <w:tcPr>
            <w:tcW w:w="2689" w:type="dxa"/>
            <w:tcBorders>
              <w:top w:val="double" w:sz="4" w:space="0" w:color="auto"/>
              <w:right w:val="double" w:sz="4" w:space="0" w:color="auto"/>
            </w:tcBorders>
            <w:vAlign w:val="center"/>
          </w:tcPr>
          <w:p w14:paraId="1ED07857" w14:textId="7806FEA2" w:rsidR="00B5032B" w:rsidRPr="009E0F3B" w:rsidRDefault="00B5032B" w:rsidP="00C02DA7">
            <w:pPr>
              <w:rPr>
                <w:rFonts w:ascii="Cambria" w:hAnsi="Cambria"/>
                <w:b/>
                <w:bCs/>
                <w:color w:val="000000" w:themeColor="text1"/>
                <w:lang w:val="en-GB"/>
              </w:rPr>
            </w:pPr>
            <w:r w:rsidRPr="009E0F3B">
              <w:rPr>
                <w:rFonts w:ascii="Cambria" w:hAnsi="Cambria"/>
                <w:color w:val="000000" w:themeColor="text1"/>
                <w:lang w:val="en-GB"/>
              </w:rPr>
              <w:t>Male (340 participants, 658 descriptors)</w:t>
            </w:r>
          </w:p>
        </w:tc>
        <w:tc>
          <w:tcPr>
            <w:tcW w:w="1984" w:type="dxa"/>
            <w:tcBorders>
              <w:top w:val="double" w:sz="4" w:space="0" w:color="auto"/>
              <w:left w:val="double" w:sz="4" w:space="0" w:color="auto"/>
            </w:tcBorders>
            <w:vAlign w:val="center"/>
          </w:tcPr>
          <w:p w14:paraId="3EA55BFA" w14:textId="5D8B52E5"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 xml:space="preserve">strict (66) – </w:t>
            </w:r>
          </w:p>
          <w:p w14:paraId="68C64C67" w14:textId="77777777"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 xml:space="preserve">10% </w:t>
            </w:r>
          </w:p>
        </w:tc>
        <w:tc>
          <w:tcPr>
            <w:tcW w:w="2126" w:type="dxa"/>
            <w:tcBorders>
              <w:top w:val="double" w:sz="4" w:space="0" w:color="auto"/>
              <w:right w:val="single" w:sz="4" w:space="0" w:color="auto"/>
            </w:tcBorders>
            <w:vAlign w:val="center"/>
          </w:tcPr>
          <w:p w14:paraId="1A6DE94E" w14:textId="1A58A492"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respectful (47) – 7,1%</w:t>
            </w:r>
          </w:p>
        </w:tc>
        <w:tc>
          <w:tcPr>
            <w:tcW w:w="2268" w:type="dxa"/>
            <w:tcBorders>
              <w:top w:val="double" w:sz="4" w:space="0" w:color="auto"/>
              <w:left w:val="single" w:sz="4" w:space="0" w:color="auto"/>
            </w:tcBorders>
            <w:vAlign w:val="center"/>
          </w:tcPr>
          <w:p w14:paraId="059C1FAB" w14:textId="7A0973BA"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 xml:space="preserve">kind (44) – </w:t>
            </w:r>
          </w:p>
          <w:p w14:paraId="51779DCA" w14:textId="77777777"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 xml:space="preserve">6,7% </w:t>
            </w:r>
          </w:p>
        </w:tc>
      </w:tr>
      <w:tr w:rsidR="00B5032B" w:rsidRPr="009E0F3B" w14:paraId="5EBF0225" w14:textId="77777777" w:rsidTr="00C02DA7">
        <w:trPr>
          <w:trHeight w:val="680"/>
        </w:trPr>
        <w:tc>
          <w:tcPr>
            <w:tcW w:w="2689" w:type="dxa"/>
            <w:tcBorders>
              <w:right w:val="double" w:sz="4" w:space="0" w:color="auto"/>
            </w:tcBorders>
            <w:vAlign w:val="center"/>
          </w:tcPr>
          <w:p w14:paraId="4A777582" w14:textId="6683866C" w:rsidR="00B5032B" w:rsidRPr="009E0F3B" w:rsidRDefault="00B5032B" w:rsidP="00B5032B">
            <w:pPr>
              <w:rPr>
                <w:rFonts w:ascii="Cambria" w:hAnsi="Cambria"/>
                <w:b/>
                <w:bCs/>
                <w:color w:val="000000" w:themeColor="text1"/>
                <w:lang w:val="en-GB"/>
              </w:rPr>
            </w:pPr>
            <w:r w:rsidRPr="009E0F3B">
              <w:rPr>
                <w:rFonts w:ascii="Cambria" w:hAnsi="Cambria"/>
                <w:color w:val="000000" w:themeColor="text1"/>
                <w:lang w:val="en-GB"/>
              </w:rPr>
              <w:t>Female (697 participants, 1524 descriptors)</w:t>
            </w:r>
          </w:p>
        </w:tc>
        <w:tc>
          <w:tcPr>
            <w:tcW w:w="1984" w:type="dxa"/>
            <w:tcBorders>
              <w:left w:val="double" w:sz="4" w:space="0" w:color="auto"/>
            </w:tcBorders>
            <w:vAlign w:val="center"/>
          </w:tcPr>
          <w:p w14:paraId="63E3C821" w14:textId="56E09691"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respectful (118) – 7,7%</w:t>
            </w:r>
          </w:p>
        </w:tc>
        <w:tc>
          <w:tcPr>
            <w:tcW w:w="2126" w:type="dxa"/>
            <w:tcBorders>
              <w:right w:val="single" w:sz="4" w:space="0" w:color="auto"/>
            </w:tcBorders>
            <w:vAlign w:val="center"/>
          </w:tcPr>
          <w:p w14:paraId="348173E7" w14:textId="739273B6"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strict (115) –</w:t>
            </w:r>
          </w:p>
          <w:p w14:paraId="65483D8E" w14:textId="77777777"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7,5%</w:t>
            </w:r>
          </w:p>
        </w:tc>
        <w:tc>
          <w:tcPr>
            <w:tcW w:w="2268" w:type="dxa"/>
            <w:tcBorders>
              <w:left w:val="single" w:sz="4" w:space="0" w:color="auto"/>
            </w:tcBorders>
            <w:vAlign w:val="center"/>
          </w:tcPr>
          <w:p w14:paraId="1F6E6C38" w14:textId="5841F843" w:rsidR="00B5032B" w:rsidRPr="009E0F3B" w:rsidRDefault="00B5032B" w:rsidP="00C02DA7">
            <w:pPr>
              <w:jc w:val="center"/>
              <w:rPr>
                <w:rFonts w:ascii="Cambria" w:hAnsi="Cambria"/>
                <w:color w:val="000000" w:themeColor="text1"/>
                <w:lang w:val="en-GB"/>
              </w:rPr>
            </w:pPr>
            <w:r w:rsidRPr="009E0F3B">
              <w:rPr>
                <w:rFonts w:ascii="Cambria" w:hAnsi="Cambria"/>
                <w:color w:val="000000" w:themeColor="text1"/>
                <w:lang w:val="en-GB"/>
              </w:rPr>
              <w:t xml:space="preserve">helpful (101) –  </w:t>
            </w:r>
          </w:p>
          <w:p w14:paraId="6A3A6EF1" w14:textId="77777777" w:rsidR="00B5032B" w:rsidRPr="009E0F3B" w:rsidRDefault="00B5032B" w:rsidP="009E4779">
            <w:pPr>
              <w:keepNext/>
              <w:jc w:val="center"/>
              <w:rPr>
                <w:rFonts w:ascii="Cambria" w:hAnsi="Cambria"/>
                <w:color w:val="000000" w:themeColor="text1"/>
                <w:lang w:val="en-GB"/>
              </w:rPr>
            </w:pPr>
            <w:r w:rsidRPr="009E0F3B">
              <w:rPr>
                <w:rFonts w:ascii="Cambria" w:hAnsi="Cambria"/>
                <w:color w:val="000000" w:themeColor="text1"/>
                <w:lang w:val="en-GB"/>
              </w:rPr>
              <w:t>6,6%</w:t>
            </w:r>
          </w:p>
        </w:tc>
      </w:tr>
    </w:tbl>
    <w:p w14:paraId="375AA4B2" w14:textId="020A9228" w:rsidR="00B5032B" w:rsidRPr="009E0F3B" w:rsidRDefault="009E4779" w:rsidP="009E4779">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4</w:t>
      </w:r>
      <w:r w:rsidRPr="009E0F3B">
        <w:rPr>
          <w:lang w:val="en-GB"/>
        </w:rPr>
        <w:fldChar w:fldCharType="end"/>
      </w:r>
      <w:r w:rsidRPr="009E0F3B">
        <w:rPr>
          <w:lang w:val="en-GB"/>
        </w:rPr>
        <w:t xml:space="preserve"> Teacher characteristics based on sex</w:t>
      </w:r>
    </w:p>
    <w:p w14:paraId="3AB00B3A" w14:textId="73652FAC" w:rsidR="00FA206A" w:rsidRPr="009E0F3B" w:rsidRDefault="00E43DC7" w:rsidP="00D87B1D">
      <w:pPr>
        <w:ind w:firstLine="708"/>
        <w:jc w:val="both"/>
        <w:rPr>
          <w:rFonts w:ascii="Cambria" w:hAnsi="Cambria"/>
          <w:sz w:val="24"/>
          <w:szCs w:val="24"/>
          <w:lang w:val="en-GB"/>
        </w:rPr>
      </w:pPr>
      <w:r w:rsidRPr="009E0F3B">
        <w:rPr>
          <w:rFonts w:ascii="Cambria" w:hAnsi="Cambria"/>
          <w:sz w:val="24"/>
          <w:szCs w:val="24"/>
          <w:lang w:val="en-GB"/>
        </w:rPr>
        <w:t xml:space="preserve">We also asked the participants to share their perceptions regarding the qualities that might cause a teacher to lose their authority among students. They were requested to provide three adjectives or attributes in their responses. Out of the total, 979 students offered at least one adjective or attribute they deemed relevant to an authoritative educator, with 394 students providing two, and 136 students supplying three. In total, 71 unique adjectives were recorded. </w:t>
      </w:r>
      <w:r w:rsidR="008948D4" w:rsidRPr="009E0F3B">
        <w:rPr>
          <w:rFonts w:ascii="Cambria" w:hAnsi="Cambria"/>
          <w:sz w:val="24"/>
          <w:szCs w:val="24"/>
          <w:lang w:val="en-GB"/>
        </w:rPr>
        <w:t>The participants</w:t>
      </w:r>
      <w:r w:rsidRPr="009E0F3B">
        <w:rPr>
          <w:rFonts w:ascii="Cambria" w:hAnsi="Cambria"/>
          <w:sz w:val="24"/>
          <w:szCs w:val="24"/>
          <w:lang w:val="en-GB"/>
        </w:rPr>
        <w:t xml:space="preserve"> identified th</w:t>
      </w:r>
      <w:r w:rsidR="008948D4" w:rsidRPr="009E0F3B">
        <w:rPr>
          <w:rFonts w:ascii="Cambria" w:hAnsi="Cambria"/>
          <w:sz w:val="24"/>
          <w:szCs w:val="24"/>
          <w:lang w:val="en-GB"/>
        </w:rPr>
        <w:t>e leading reasons for a teacher’</w:t>
      </w:r>
      <w:r w:rsidRPr="009E0F3B">
        <w:rPr>
          <w:rFonts w:ascii="Cambria" w:hAnsi="Cambria"/>
          <w:sz w:val="24"/>
          <w:szCs w:val="24"/>
          <w:lang w:val="en-GB"/>
        </w:rPr>
        <w:t>s diminished author</w:t>
      </w:r>
      <w:r w:rsidR="008948D4" w:rsidRPr="009E0F3B">
        <w:rPr>
          <w:rFonts w:ascii="Cambria" w:hAnsi="Cambria"/>
          <w:sz w:val="24"/>
          <w:szCs w:val="24"/>
          <w:lang w:val="en-GB"/>
        </w:rPr>
        <w:t>ity as disrespect (130), unfairness (112</w:t>
      </w:r>
      <w:r w:rsidRPr="009E0F3B">
        <w:rPr>
          <w:rFonts w:ascii="Cambria" w:hAnsi="Cambria"/>
          <w:sz w:val="24"/>
          <w:szCs w:val="24"/>
          <w:lang w:val="en-GB"/>
        </w:rPr>
        <w:t>), and the ac</w:t>
      </w:r>
      <w:r w:rsidR="008948D4" w:rsidRPr="009E0F3B">
        <w:rPr>
          <w:rFonts w:ascii="Cambria" w:hAnsi="Cambria"/>
          <w:sz w:val="24"/>
          <w:szCs w:val="24"/>
          <w:lang w:val="en-GB"/>
        </w:rPr>
        <w:t xml:space="preserve">t of disrespecting </w:t>
      </w:r>
      <w:r w:rsidRPr="009E0F3B">
        <w:rPr>
          <w:rFonts w:ascii="Cambria" w:hAnsi="Cambria"/>
          <w:sz w:val="24"/>
          <w:szCs w:val="24"/>
          <w:lang w:val="en-GB"/>
        </w:rPr>
        <w:t>their students</w:t>
      </w:r>
      <w:r w:rsidR="008948D4" w:rsidRPr="009E0F3B">
        <w:rPr>
          <w:rFonts w:ascii="Cambria" w:hAnsi="Cambria"/>
          <w:sz w:val="24"/>
          <w:szCs w:val="24"/>
          <w:lang w:val="en-GB"/>
        </w:rPr>
        <w:t xml:space="preserve"> (85)</w:t>
      </w:r>
      <w:r w:rsidRPr="009E0F3B">
        <w:rPr>
          <w:rFonts w:ascii="Cambria" w:hAnsi="Cambria"/>
          <w:sz w:val="24"/>
          <w:szCs w:val="24"/>
          <w:lang w:val="en-GB"/>
        </w:rPr>
        <w:t xml:space="preserve">. Furthermore, it is important to highlight </w:t>
      </w:r>
      <w:proofErr w:type="gramStart"/>
      <w:r w:rsidRPr="009E0F3B">
        <w:rPr>
          <w:rFonts w:ascii="Cambria" w:hAnsi="Cambria"/>
          <w:sz w:val="24"/>
          <w:szCs w:val="24"/>
          <w:lang w:val="en-GB"/>
        </w:rPr>
        <w:t>that 48 respondents</w:t>
      </w:r>
      <w:proofErr w:type="gramEnd"/>
      <w:r w:rsidRPr="009E0F3B">
        <w:rPr>
          <w:rFonts w:ascii="Cambria" w:hAnsi="Cambria"/>
          <w:sz w:val="24"/>
          <w:szCs w:val="24"/>
          <w:lang w:val="en-GB"/>
        </w:rPr>
        <w:t xml:space="preserve">, or 4.6%, mentioned that a teacher humiliating their students was also a contributing factor. These 71 </w:t>
      </w:r>
      <w:r w:rsidR="008948D4" w:rsidRPr="009E0F3B">
        <w:rPr>
          <w:rFonts w:ascii="Cambria" w:hAnsi="Cambria"/>
          <w:sz w:val="24"/>
          <w:szCs w:val="24"/>
          <w:lang w:val="en-GB"/>
        </w:rPr>
        <w:t>adjectives were</w:t>
      </w:r>
      <w:r w:rsidRPr="009E0F3B">
        <w:rPr>
          <w:rFonts w:ascii="Cambria" w:hAnsi="Cambria"/>
          <w:sz w:val="24"/>
          <w:szCs w:val="24"/>
          <w:lang w:val="en-GB"/>
        </w:rPr>
        <w:t xml:space="preserve"> organized according to the Big Five personality model, as shown in </w:t>
      </w:r>
      <w:r w:rsidR="00D87B1D" w:rsidRPr="009E0F3B">
        <w:rPr>
          <w:rFonts w:ascii="Cambria" w:hAnsi="Cambria"/>
          <w:sz w:val="24"/>
          <w:szCs w:val="24"/>
          <w:lang w:val="en-GB"/>
        </w:rPr>
        <w:t>the following table</w:t>
      </w:r>
      <w:r w:rsidRPr="009E0F3B">
        <w:rPr>
          <w:rFonts w:ascii="Cambria" w:hAnsi="Cambria"/>
          <w:sz w:val="24"/>
          <w:szCs w:val="24"/>
          <w:lang w:val="en-GB"/>
        </w:rPr>
        <w:t>.</w:t>
      </w:r>
      <w:r w:rsidR="00D87B1D" w:rsidRPr="009E0F3B">
        <w:rPr>
          <w:rFonts w:ascii="Cambria" w:hAnsi="Cambria"/>
          <w:sz w:val="24"/>
          <w:szCs w:val="24"/>
          <w:lang w:val="en-GB"/>
        </w:rPr>
        <w:t xml:space="preserve"> </w:t>
      </w:r>
    </w:p>
    <w:tbl>
      <w:tblPr>
        <w:tblStyle w:val="Rcsostblzat"/>
        <w:tblW w:w="0" w:type="auto"/>
        <w:tblInd w:w="562" w:type="dxa"/>
        <w:tblLook w:val="04A0" w:firstRow="1" w:lastRow="0" w:firstColumn="1" w:lastColumn="0" w:noHBand="0" w:noVBand="1"/>
      </w:tblPr>
      <w:tblGrid>
        <w:gridCol w:w="3828"/>
        <w:gridCol w:w="2126"/>
        <w:gridCol w:w="2126"/>
      </w:tblGrid>
      <w:tr w:rsidR="006E32F8" w:rsidRPr="009E0F3B" w14:paraId="11579584" w14:textId="77777777" w:rsidTr="00C02DA7">
        <w:tc>
          <w:tcPr>
            <w:tcW w:w="3828" w:type="dxa"/>
            <w:vAlign w:val="center"/>
          </w:tcPr>
          <w:p w14:paraId="19613FB4" w14:textId="61EA2A2E" w:rsidR="006E32F8" w:rsidRPr="009E0F3B" w:rsidRDefault="006E32F8" w:rsidP="00C02DA7">
            <w:pPr>
              <w:rPr>
                <w:rFonts w:ascii="Cambria" w:hAnsi="Cambria"/>
                <w:b/>
                <w:bCs/>
                <w:lang w:val="en-GB"/>
              </w:rPr>
            </w:pPr>
            <w:r w:rsidRPr="009E0F3B">
              <w:rPr>
                <w:rFonts w:ascii="Cambria" w:hAnsi="Cambria"/>
                <w:b/>
                <w:bCs/>
                <w:lang w:val="en-GB"/>
              </w:rPr>
              <w:t>The Big 5 grouping</w:t>
            </w:r>
          </w:p>
        </w:tc>
        <w:tc>
          <w:tcPr>
            <w:tcW w:w="2126" w:type="dxa"/>
            <w:vAlign w:val="center"/>
          </w:tcPr>
          <w:p w14:paraId="42D59E07" w14:textId="1B1DADC0" w:rsidR="006E32F8" w:rsidRPr="009E0F3B" w:rsidRDefault="006E32F8" w:rsidP="00C02DA7">
            <w:pPr>
              <w:jc w:val="center"/>
              <w:rPr>
                <w:rFonts w:ascii="Cambria" w:hAnsi="Cambria"/>
                <w:b/>
                <w:bCs/>
                <w:lang w:val="en-GB"/>
              </w:rPr>
            </w:pPr>
            <w:proofErr w:type="spellStart"/>
            <w:r w:rsidRPr="009E0F3B">
              <w:rPr>
                <w:rFonts w:ascii="Cambria" w:hAnsi="Cambria"/>
                <w:b/>
                <w:bCs/>
                <w:lang w:val="en-GB"/>
              </w:rPr>
              <w:t>Occurence</w:t>
            </w:r>
            <w:proofErr w:type="spellEnd"/>
            <w:r w:rsidRPr="009E0F3B">
              <w:rPr>
                <w:rFonts w:ascii="Cambria" w:hAnsi="Cambria"/>
                <w:b/>
                <w:bCs/>
                <w:lang w:val="en-GB"/>
              </w:rPr>
              <w:t xml:space="preserve"> in numbers</w:t>
            </w:r>
          </w:p>
        </w:tc>
        <w:tc>
          <w:tcPr>
            <w:tcW w:w="2126" w:type="dxa"/>
            <w:vAlign w:val="center"/>
          </w:tcPr>
          <w:p w14:paraId="181C50E1" w14:textId="39CAC38C" w:rsidR="006E32F8" w:rsidRPr="009E0F3B" w:rsidRDefault="006E32F8" w:rsidP="00C02DA7">
            <w:pPr>
              <w:jc w:val="center"/>
              <w:rPr>
                <w:rFonts w:ascii="Cambria" w:hAnsi="Cambria"/>
                <w:b/>
                <w:bCs/>
                <w:lang w:val="en-GB"/>
              </w:rPr>
            </w:pPr>
            <w:proofErr w:type="spellStart"/>
            <w:r w:rsidRPr="009E0F3B">
              <w:rPr>
                <w:rFonts w:ascii="Cambria" w:hAnsi="Cambria"/>
                <w:b/>
                <w:bCs/>
                <w:lang w:val="en-GB"/>
              </w:rPr>
              <w:t>Occurence</w:t>
            </w:r>
            <w:proofErr w:type="spellEnd"/>
            <w:r w:rsidRPr="009E0F3B">
              <w:rPr>
                <w:rFonts w:ascii="Cambria" w:hAnsi="Cambria"/>
                <w:b/>
                <w:bCs/>
                <w:lang w:val="en-GB"/>
              </w:rPr>
              <w:t xml:space="preserve"> in %</w:t>
            </w:r>
          </w:p>
        </w:tc>
      </w:tr>
      <w:tr w:rsidR="006E32F8" w:rsidRPr="009E0F3B" w14:paraId="3C3A521E" w14:textId="77777777" w:rsidTr="00C02DA7">
        <w:tc>
          <w:tcPr>
            <w:tcW w:w="3828" w:type="dxa"/>
            <w:vAlign w:val="center"/>
          </w:tcPr>
          <w:p w14:paraId="680FB142" w14:textId="008F6126" w:rsidR="006E32F8" w:rsidRPr="009E0F3B" w:rsidRDefault="00474306" w:rsidP="00C02DA7">
            <w:pPr>
              <w:rPr>
                <w:rFonts w:ascii="Cambria" w:hAnsi="Cambria"/>
                <w:lang w:val="en-GB"/>
              </w:rPr>
            </w:pPr>
            <w:r w:rsidRPr="009E0F3B">
              <w:rPr>
                <w:rFonts w:ascii="Cambria" w:hAnsi="Cambria"/>
                <w:lang w:val="en-GB"/>
              </w:rPr>
              <w:t xml:space="preserve">Extraverted </w:t>
            </w:r>
          </w:p>
        </w:tc>
        <w:tc>
          <w:tcPr>
            <w:tcW w:w="2126" w:type="dxa"/>
            <w:vAlign w:val="center"/>
          </w:tcPr>
          <w:p w14:paraId="3D1015AE" w14:textId="77777777" w:rsidR="006E32F8" w:rsidRPr="009E0F3B" w:rsidRDefault="006E32F8" w:rsidP="00C02DA7">
            <w:pPr>
              <w:jc w:val="center"/>
              <w:rPr>
                <w:rFonts w:ascii="Cambria" w:hAnsi="Cambria"/>
                <w:lang w:val="en-GB"/>
              </w:rPr>
            </w:pPr>
            <w:r w:rsidRPr="009E0F3B">
              <w:rPr>
                <w:rFonts w:ascii="Cambria" w:hAnsi="Cambria"/>
                <w:lang w:val="en-GB"/>
              </w:rPr>
              <w:t>63</w:t>
            </w:r>
          </w:p>
        </w:tc>
        <w:tc>
          <w:tcPr>
            <w:tcW w:w="2126" w:type="dxa"/>
            <w:vAlign w:val="center"/>
          </w:tcPr>
          <w:p w14:paraId="2D1C92D9" w14:textId="77777777" w:rsidR="006E32F8" w:rsidRPr="009E0F3B" w:rsidRDefault="006E32F8" w:rsidP="00C02DA7">
            <w:pPr>
              <w:jc w:val="center"/>
              <w:rPr>
                <w:rFonts w:ascii="Cambria" w:hAnsi="Cambria"/>
                <w:lang w:val="en-GB"/>
              </w:rPr>
            </w:pPr>
            <w:r w:rsidRPr="009E0F3B">
              <w:rPr>
                <w:rFonts w:ascii="Cambria" w:hAnsi="Cambria"/>
                <w:lang w:val="en-GB"/>
              </w:rPr>
              <w:t>4,17%</w:t>
            </w:r>
          </w:p>
        </w:tc>
      </w:tr>
      <w:tr w:rsidR="006E32F8" w:rsidRPr="009E0F3B" w14:paraId="0C83BD0E" w14:textId="77777777" w:rsidTr="00C02DA7">
        <w:tc>
          <w:tcPr>
            <w:tcW w:w="3828" w:type="dxa"/>
            <w:vAlign w:val="center"/>
          </w:tcPr>
          <w:p w14:paraId="246D2716" w14:textId="02E22FA3" w:rsidR="006E32F8" w:rsidRPr="009E0F3B" w:rsidRDefault="0099460D" w:rsidP="00C02DA7">
            <w:pPr>
              <w:rPr>
                <w:rFonts w:ascii="Cambria" w:hAnsi="Cambria"/>
                <w:lang w:val="en-GB"/>
              </w:rPr>
            </w:pPr>
            <w:r w:rsidRPr="009E0F3B">
              <w:rPr>
                <w:rFonts w:ascii="Cambria" w:hAnsi="Cambria"/>
                <w:lang w:val="en-GB"/>
              </w:rPr>
              <w:t>Cooperative, agreeable</w:t>
            </w:r>
          </w:p>
        </w:tc>
        <w:tc>
          <w:tcPr>
            <w:tcW w:w="2126" w:type="dxa"/>
            <w:vAlign w:val="center"/>
          </w:tcPr>
          <w:p w14:paraId="0A8136D6" w14:textId="77777777" w:rsidR="006E32F8" w:rsidRPr="009E0F3B" w:rsidRDefault="006E32F8" w:rsidP="00C02DA7">
            <w:pPr>
              <w:jc w:val="center"/>
              <w:rPr>
                <w:rFonts w:ascii="Cambria" w:hAnsi="Cambria"/>
                <w:lang w:val="en-GB"/>
              </w:rPr>
            </w:pPr>
            <w:r w:rsidRPr="009E0F3B">
              <w:rPr>
                <w:rFonts w:ascii="Cambria" w:hAnsi="Cambria"/>
                <w:lang w:val="en-GB"/>
              </w:rPr>
              <w:t>697</w:t>
            </w:r>
          </w:p>
        </w:tc>
        <w:tc>
          <w:tcPr>
            <w:tcW w:w="2126" w:type="dxa"/>
            <w:vAlign w:val="center"/>
          </w:tcPr>
          <w:p w14:paraId="1A2159EE" w14:textId="77777777" w:rsidR="006E32F8" w:rsidRPr="009E0F3B" w:rsidRDefault="006E32F8" w:rsidP="00C02DA7">
            <w:pPr>
              <w:jc w:val="center"/>
              <w:rPr>
                <w:rFonts w:ascii="Cambria" w:hAnsi="Cambria"/>
                <w:lang w:val="en-GB"/>
              </w:rPr>
            </w:pPr>
            <w:r w:rsidRPr="009E0F3B">
              <w:rPr>
                <w:rFonts w:ascii="Cambria" w:hAnsi="Cambria"/>
                <w:lang w:val="en-GB"/>
              </w:rPr>
              <w:t>46,19%</w:t>
            </w:r>
          </w:p>
        </w:tc>
      </w:tr>
      <w:tr w:rsidR="006E32F8" w:rsidRPr="009E0F3B" w14:paraId="29A98774" w14:textId="77777777" w:rsidTr="00C02DA7">
        <w:tc>
          <w:tcPr>
            <w:tcW w:w="3828" w:type="dxa"/>
            <w:vAlign w:val="center"/>
          </w:tcPr>
          <w:p w14:paraId="34F88167" w14:textId="68336030" w:rsidR="006E32F8" w:rsidRPr="009E0F3B" w:rsidRDefault="0099460D" w:rsidP="00C02DA7">
            <w:pPr>
              <w:rPr>
                <w:rFonts w:ascii="Cambria" w:hAnsi="Cambria"/>
                <w:lang w:val="en-GB"/>
              </w:rPr>
            </w:pPr>
            <w:r w:rsidRPr="009E0F3B">
              <w:rPr>
                <w:rFonts w:ascii="Cambria" w:hAnsi="Cambria"/>
                <w:lang w:val="en-GB"/>
              </w:rPr>
              <w:t>Conscientious</w:t>
            </w:r>
          </w:p>
        </w:tc>
        <w:tc>
          <w:tcPr>
            <w:tcW w:w="2126" w:type="dxa"/>
            <w:vAlign w:val="center"/>
          </w:tcPr>
          <w:p w14:paraId="3C89128D" w14:textId="77777777" w:rsidR="006E32F8" w:rsidRPr="009E0F3B" w:rsidRDefault="006E32F8" w:rsidP="00C02DA7">
            <w:pPr>
              <w:jc w:val="center"/>
              <w:rPr>
                <w:rFonts w:ascii="Cambria" w:hAnsi="Cambria"/>
                <w:lang w:val="en-GB"/>
              </w:rPr>
            </w:pPr>
            <w:r w:rsidRPr="009E0F3B">
              <w:rPr>
                <w:rFonts w:ascii="Cambria" w:hAnsi="Cambria"/>
                <w:lang w:val="en-GB"/>
              </w:rPr>
              <w:t>458</w:t>
            </w:r>
          </w:p>
        </w:tc>
        <w:tc>
          <w:tcPr>
            <w:tcW w:w="2126" w:type="dxa"/>
            <w:vAlign w:val="center"/>
          </w:tcPr>
          <w:p w14:paraId="719985A9" w14:textId="77777777" w:rsidR="006E32F8" w:rsidRPr="009E0F3B" w:rsidRDefault="006E32F8" w:rsidP="00C02DA7">
            <w:pPr>
              <w:jc w:val="center"/>
              <w:rPr>
                <w:rFonts w:ascii="Cambria" w:hAnsi="Cambria"/>
                <w:lang w:val="en-GB"/>
              </w:rPr>
            </w:pPr>
            <w:r w:rsidRPr="009E0F3B">
              <w:rPr>
                <w:rFonts w:ascii="Cambria" w:hAnsi="Cambria"/>
                <w:lang w:val="en-GB"/>
              </w:rPr>
              <w:t>30,35%</w:t>
            </w:r>
          </w:p>
        </w:tc>
      </w:tr>
      <w:tr w:rsidR="006E32F8" w:rsidRPr="009E0F3B" w14:paraId="10DE9C7A" w14:textId="77777777" w:rsidTr="00C02DA7">
        <w:tc>
          <w:tcPr>
            <w:tcW w:w="3828" w:type="dxa"/>
            <w:vAlign w:val="center"/>
          </w:tcPr>
          <w:p w14:paraId="67BE25B6" w14:textId="572FAB56" w:rsidR="006E32F8" w:rsidRPr="009E0F3B" w:rsidRDefault="0099460D" w:rsidP="00C02DA7">
            <w:pPr>
              <w:rPr>
                <w:rFonts w:ascii="Cambria" w:hAnsi="Cambria"/>
                <w:lang w:val="en-GB"/>
              </w:rPr>
            </w:pPr>
            <w:r w:rsidRPr="009E0F3B">
              <w:rPr>
                <w:rFonts w:ascii="Cambria" w:hAnsi="Cambria"/>
                <w:lang w:val="en-GB"/>
              </w:rPr>
              <w:t>Emotional</w:t>
            </w:r>
          </w:p>
        </w:tc>
        <w:tc>
          <w:tcPr>
            <w:tcW w:w="2126" w:type="dxa"/>
            <w:vAlign w:val="center"/>
          </w:tcPr>
          <w:p w14:paraId="04B99648" w14:textId="77777777" w:rsidR="006E32F8" w:rsidRPr="009E0F3B" w:rsidRDefault="006E32F8" w:rsidP="00C02DA7">
            <w:pPr>
              <w:jc w:val="center"/>
              <w:rPr>
                <w:rFonts w:ascii="Cambria" w:hAnsi="Cambria"/>
                <w:lang w:val="en-GB"/>
              </w:rPr>
            </w:pPr>
            <w:r w:rsidRPr="009E0F3B">
              <w:rPr>
                <w:rFonts w:ascii="Cambria" w:hAnsi="Cambria"/>
                <w:lang w:val="en-GB"/>
              </w:rPr>
              <w:t>162</w:t>
            </w:r>
          </w:p>
        </w:tc>
        <w:tc>
          <w:tcPr>
            <w:tcW w:w="2126" w:type="dxa"/>
            <w:vAlign w:val="center"/>
          </w:tcPr>
          <w:p w14:paraId="5EC6EF7E" w14:textId="77777777" w:rsidR="006E32F8" w:rsidRPr="009E0F3B" w:rsidRDefault="006E32F8" w:rsidP="00C02DA7">
            <w:pPr>
              <w:jc w:val="center"/>
              <w:rPr>
                <w:rFonts w:ascii="Cambria" w:hAnsi="Cambria"/>
                <w:lang w:val="en-GB"/>
              </w:rPr>
            </w:pPr>
            <w:r w:rsidRPr="009E0F3B">
              <w:rPr>
                <w:rFonts w:ascii="Cambria" w:hAnsi="Cambria"/>
                <w:lang w:val="en-GB"/>
              </w:rPr>
              <w:t>10,74%</w:t>
            </w:r>
          </w:p>
        </w:tc>
      </w:tr>
      <w:tr w:rsidR="006E32F8" w:rsidRPr="009E0F3B" w14:paraId="15C38B24" w14:textId="77777777" w:rsidTr="00C02DA7">
        <w:tc>
          <w:tcPr>
            <w:tcW w:w="3828" w:type="dxa"/>
            <w:vAlign w:val="center"/>
          </w:tcPr>
          <w:p w14:paraId="4725B6C8" w14:textId="171BF822" w:rsidR="006E32F8" w:rsidRPr="009E0F3B" w:rsidRDefault="0099460D" w:rsidP="00C02DA7">
            <w:pPr>
              <w:rPr>
                <w:rFonts w:ascii="Cambria" w:hAnsi="Cambria"/>
                <w:lang w:val="en-GB"/>
              </w:rPr>
            </w:pPr>
            <w:r w:rsidRPr="009E0F3B">
              <w:rPr>
                <w:rFonts w:ascii="Cambria" w:hAnsi="Cambria"/>
                <w:lang w:val="en-GB"/>
              </w:rPr>
              <w:t>Open to new experiences</w:t>
            </w:r>
          </w:p>
        </w:tc>
        <w:tc>
          <w:tcPr>
            <w:tcW w:w="2126" w:type="dxa"/>
            <w:vAlign w:val="center"/>
          </w:tcPr>
          <w:p w14:paraId="0CE1F4EB" w14:textId="77777777" w:rsidR="006E32F8" w:rsidRPr="009E0F3B" w:rsidRDefault="006E32F8" w:rsidP="00C02DA7">
            <w:pPr>
              <w:jc w:val="center"/>
              <w:rPr>
                <w:rFonts w:ascii="Cambria" w:hAnsi="Cambria"/>
                <w:lang w:val="en-GB"/>
              </w:rPr>
            </w:pPr>
            <w:r w:rsidRPr="009E0F3B">
              <w:rPr>
                <w:rFonts w:ascii="Cambria" w:hAnsi="Cambria"/>
                <w:lang w:val="en-GB"/>
              </w:rPr>
              <w:t>129</w:t>
            </w:r>
          </w:p>
        </w:tc>
        <w:tc>
          <w:tcPr>
            <w:tcW w:w="2126" w:type="dxa"/>
            <w:vAlign w:val="center"/>
          </w:tcPr>
          <w:p w14:paraId="537DA22D" w14:textId="77777777" w:rsidR="006E32F8" w:rsidRPr="009E0F3B" w:rsidRDefault="006E32F8" w:rsidP="00C02DA7">
            <w:pPr>
              <w:jc w:val="center"/>
              <w:rPr>
                <w:rFonts w:ascii="Cambria" w:hAnsi="Cambria"/>
                <w:lang w:val="en-GB"/>
              </w:rPr>
            </w:pPr>
            <w:r w:rsidRPr="009E0F3B">
              <w:rPr>
                <w:rFonts w:ascii="Cambria" w:hAnsi="Cambria"/>
                <w:lang w:val="en-GB"/>
              </w:rPr>
              <w:t>8,55%</w:t>
            </w:r>
          </w:p>
        </w:tc>
      </w:tr>
    </w:tbl>
    <w:p w14:paraId="0BE2DDBC" w14:textId="64B5B732" w:rsidR="006E32F8" w:rsidRPr="009E0F3B" w:rsidRDefault="0099460D" w:rsidP="0099460D">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5</w:t>
      </w:r>
      <w:r w:rsidRPr="009E0F3B">
        <w:rPr>
          <w:lang w:val="en-GB"/>
        </w:rPr>
        <w:fldChar w:fldCharType="end"/>
      </w:r>
      <w:r w:rsidRPr="009E0F3B">
        <w:rPr>
          <w:lang w:val="en-GB"/>
        </w:rPr>
        <w:t xml:space="preserve"> Answers in group </w:t>
      </w:r>
      <w:proofErr w:type="gramStart"/>
      <w:r w:rsidRPr="009E0F3B">
        <w:rPr>
          <w:lang w:val="en-GB"/>
        </w:rPr>
        <w:t>on the basis of</w:t>
      </w:r>
      <w:proofErr w:type="gramEnd"/>
      <w:r w:rsidRPr="009E0F3B">
        <w:rPr>
          <w:lang w:val="en-GB"/>
        </w:rPr>
        <w:t xml:space="preserve"> the Big Five model</w:t>
      </w:r>
    </w:p>
    <w:p w14:paraId="077DDAFC" w14:textId="443BC7A0" w:rsidR="00FF6F45" w:rsidRPr="009E0F3B" w:rsidRDefault="00872FE0" w:rsidP="00872FE0">
      <w:pPr>
        <w:ind w:firstLine="708"/>
        <w:jc w:val="both"/>
        <w:rPr>
          <w:rFonts w:ascii="Cambria" w:hAnsi="Cambria"/>
          <w:sz w:val="24"/>
          <w:szCs w:val="24"/>
          <w:lang w:val="en-GB"/>
        </w:rPr>
      </w:pPr>
      <w:r w:rsidRPr="009E0F3B">
        <w:rPr>
          <w:rFonts w:ascii="Cambria" w:hAnsi="Cambria"/>
          <w:sz w:val="24"/>
          <w:szCs w:val="24"/>
          <w:lang w:val="en-GB"/>
        </w:rPr>
        <w:lastRenderedPageBreak/>
        <w:t>Furthermore, the distribution of the Big Five grouped indicators and attributes for the two subsamples, which include (1) sex and (2) educational institution (country) were also analysed. The findings are detailed below.</w:t>
      </w:r>
    </w:p>
    <w:tbl>
      <w:tblPr>
        <w:tblStyle w:val="Rcsostblzat"/>
        <w:tblW w:w="0" w:type="auto"/>
        <w:tblLook w:val="04A0" w:firstRow="1" w:lastRow="0" w:firstColumn="1" w:lastColumn="0" w:noHBand="0" w:noVBand="1"/>
      </w:tblPr>
      <w:tblGrid>
        <w:gridCol w:w="3114"/>
        <w:gridCol w:w="1417"/>
        <w:gridCol w:w="1560"/>
        <w:gridCol w:w="1417"/>
        <w:gridCol w:w="1554"/>
      </w:tblGrid>
      <w:tr w:rsidR="00872FE0" w:rsidRPr="009E0F3B" w14:paraId="4BE32785" w14:textId="77777777" w:rsidTr="00C02DA7">
        <w:tc>
          <w:tcPr>
            <w:tcW w:w="3114" w:type="dxa"/>
            <w:vMerge w:val="restart"/>
            <w:vAlign w:val="center"/>
          </w:tcPr>
          <w:p w14:paraId="781513A4" w14:textId="1FD75EB2" w:rsidR="00872FE0" w:rsidRPr="009E0F3B" w:rsidRDefault="00872FE0" w:rsidP="00C02DA7">
            <w:pPr>
              <w:jc w:val="center"/>
              <w:rPr>
                <w:rFonts w:ascii="Cambria" w:hAnsi="Cambria"/>
                <w:lang w:val="en-GB"/>
              </w:rPr>
            </w:pPr>
            <w:r w:rsidRPr="009E0F3B">
              <w:rPr>
                <w:rFonts w:ascii="Cambria" w:hAnsi="Cambria"/>
                <w:b/>
                <w:bCs/>
                <w:lang w:val="en-GB"/>
              </w:rPr>
              <w:t>The Big Five grouping</w:t>
            </w:r>
          </w:p>
        </w:tc>
        <w:tc>
          <w:tcPr>
            <w:tcW w:w="2977" w:type="dxa"/>
            <w:gridSpan w:val="2"/>
          </w:tcPr>
          <w:p w14:paraId="5B9F7B9A" w14:textId="13DDA6AC" w:rsidR="00872FE0" w:rsidRPr="009E0F3B" w:rsidRDefault="00872FE0" w:rsidP="00C02DA7">
            <w:pPr>
              <w:jc w:val="center"/>
              <w:rPr>
                <w:rFonts w:ascii="Cambria" w:hAnsi="Cambria"/>
                <w:b/>
                <w:bCs/>
                <w:lang w:val="en-GB"/>
              </w:rPr>
            </w:pPr>
            <w:r w:rsidRPr="009E0F3B">
              <w:rPr>
                <w:rFonts w:ascii="Cambria" w:hAnsi="Cambria"/>
                <w:b/>
                <w:bCs/>
                <w:lang w:val="en-GB"/>
              </w:rPr>
              <w:t xml:space="preserve">Male answers </w:t>
            </w:r>
            <w:r w:rsidRPr="009E0F3B">
              <w:rPr>
                <w:rFonts w:ascii="Cambria" w:hAnsi="Cambria"/>
                <w:lang w:val="en-GB"/>
              </w:rPr>
              <w:t>(3x340=1020)</w:t>
            </w:r>
          </w:p>
        </w:tc>
        <w:tc>
          <w:tcPr>
            <w:tcW w:w="2971" w:type="dxa"/>
            <w:gridSpan w:val="2"/>
          </w:tcPr>
          <w:p w14:paraId="1055BB0F" w14:textId="23218C46" w:rsidR="00872FE0" w:rsidRPr="009E0F3B" w:rsidRDefault="00872FE0" w:rsidP="00C02DA7">
            <w:pPr>
              <w:jc w:val="center"/>
              <w:rPr>
                <w:rFonts w:ascii="Cambria" w:hAnsi="Cambria"/>
                <w:b/>
                <w:bCs/>
                <w:lang w:val="en-GB"/>
              </w:rPr>
            </w:pPr>
            <w:r w:rsidRPr="009E0F3B">
              <w:rPr>
                <w:rFonts w:ascii="Cambria" w:hAnsi="Cambria"/>
                <w:b/>
                <w:bCs/>
                <w:lang w:val="en-GB"/>
              </w:rPr>
              <w:t xml:space="preserve">Female answers </w:t>
            </w:r>
          </w:p>
          <w:p w14:paraId="43F5E872" w14:textId="77777777" w:rsidR="00872FE0" w:rsidRPr="009E0F3B" w:rsidRDefault="00872FE0" w:rsidP="00C02DA7">
            <w:pPr>
              <w:jc w:val="center"/>
              <w:rPr>
                <w:rFonts w:ascii="Cambria" w:hAnsi="Cambria"/>
                <w:lang w:val="en-GB"/>
              </w:rPr>
            </w:pPr>
            <w:r w:rsidRPr="009E0F3B">
              <w:rPr>
                <w:rFonts w:ascii="Cambria" w:hAnsi="Cambria"/>
                <w:lang w:val="en-GB"/>
              </w:rPr>
              <w:t>(3x697=2091)</w:t>
            </w:r>
          </w:p>
        </w:tc>
      </w:tr>
      <w:tr w:rsidR="00872FE0" w:rsidRPr="009E0F3B" w14:paraId="3BA79D28" w14:textId="77777777" w:rsidTr="00C02DA7">
        <w:tc>
          <w:tcPr>
            <w:tcW w:w="3114" w:type="dxa"/>
            <w:vMerge/>
          </w:tcPr>
          <w:p w14:paraId="646FE571" w14:textId="77777777" w:rsidR="00872FE0" w:rsidRPr="009E0F3B" w:rsidRDefault="00872FE0" w:rsidP="00C02DA7">
            <w:pPr>
              <w:jc w:val="center"/>
              <w:rPr>
                <w:rFonts w:ascii="Cambria" w:hAnsi="Cambria"/>
                <w:b/>
                <w:bCs/>
                <w:lang w:val="en-GB"/>
              </w:rPr>
            </w:pPr>
          </w:p>
        </w:tc>
        <w:tc>
          <w:tcPr>
            <w:tcW w:w="1417" w:type="dxa"/>
          </w:tcPr>
          <w:p w14:paraId="33C20EDF" w14:textId="38550245" w:rsidR="00872FE0" w:rsidRPr="009E0F3B" w:rsidRDefault="00872FE0" w:rsidP="00C02DA7">
            <w:pPr>
              <w:jc w:val="center"/>
              <w:rPr>
                <w:rFonts w:ascii="Cambria" w:hAnsi="Cambria"/>
                <w:lang w:val="en-GB"/>
              </w:rPr>
            </w:pPr>
            <w:r w:rsidRPr="009E0F3B">
              <w:rPr>
                <w:rFonts w:ascii="Cambria" w:hAnsi="Cambria"/>
                <w:lang w:val="en-GB"/>
              </w:rPr>
              <w:t>Number</w:t>
            </w:r>
          </w:p>
        </w:tc>
        <w:tc>
          <w:tcPr>
            <w:tcW w:w="1560" w:type="dxa"/>
          </w:tcPr>
          <w:p w14:paraId="36C14D4A" w14:textId="3755850B" w:rsidR="00872FE0" w:rsidRPr="009E0F3B" w:rsidRDefault="00872FE0" w:rsidP="00872FE0">
            <w:pPr>
              <w:jc w:val="center"/>
              <w:rPr>
                <w:rFonts w:ascii="Cambria" w:hAnsi="Cambria"/>
                <w:lang w:val="en-GB"/>
              </w:rPr>
            </w:pPr>
            <w:r w:rsidRPr="009E0F3B">
              <w:rPr>
                <w:rFonts w:ascii="Cambria" w:hAnsi="Cambria"/>
                <w:lang w:val="en-GB"/>
              </w:rPr>
              <w:t>%</w:t>
            </w:r>
          </w:p>
        </w:tc>
        <w:tc>
          <w:tcPr>
            <w:tcW w:w="1417" w:type="dxa"/>
          </w:tcPr>
          <w:p w14:paraId="30BEE647" w14:textId="64FDD9CF" w:rsidR="00872FE0" w:rsidRPr="009E0F3B" w:rsidRDefault="00872FE0" w:rsidP="00C02DA7">
            <w:pPr>
              <w:jc w:val="center"/>
              <w:rPr>
                <w:rFonts w:ascii="Cambria" w:hAnsi="Cambria"/>
                <w:lang w:val="en-GB"/>
              </w:rPr>
            </w:pPr>
            <w:r w:rsidRPr="009E0F3B">
              <w:rPr>
                <w:rFonts w:ascii="Cambria" w:hAnsi="Cambria"/>
                <w:lang w:val="en-GB"/>
              </w:rPr>
              <w:t>Number</w:t>
            </w:r>
          </w:p>
        </w:tc>
        <w:tc>
          <w:tcPr>
            <w:tcW w:w="1554" w:type="dxa"/>
          </w:tcPr>
          <w:p w14:paraId="2694F5D4" w14:textId="46CC4631" w:rsidR="00872FE0" w:rsidRPr="009E0F3B" w:rsidRDefault="00872FE0" w:rsidP="00872FE0">
            <w:pPr>
              <w:jc w:val="center"/>
              <w:rPr>
                <w:rFonts w:ascii="Cambria" w:hAnsi="Cambria"/>
                <w:lang w:val="en-GB"/>
              </w:rPr>
            </w:pPr>
            <w:r w:rsidRPr="009E0F3B">
              <w:rPr>
                <w:rFonts w:ascii="Cambria" w:hAnsi="Cambria"/>
                <w:lang w:val="en-GB"/>
              </w:rPr>
              <w:t>%</w:t>
            </w:r>
          </w:p>
        </w:tc>
      </w:tr>
      <w:tr w:rsidR="00872FE0" w:rsidRPr="009E0F3B" w14:paraId="72EF8F12" w14:textId="77777777" w:rsidTr="00C02DA7">
        <w:tc>
          <w:tcPr>
            <w:tcW w:w="3114" w:type="dxa"/>
            <w:vAlign w:val="center"/>
          </w:tcPr>
          <w:p w14:paraId="2844EAE3" w14:textId="4D01160F" w:rsidR="00872FE0" w:rsidRPr="009E0F3B" w:rsidRDefault="00872FE0" w:rsidP="00872FE0">
            <w:pPr>
              <w:rPr>
                <w:rFonts w:ascii="Cambria" w:hAnsi="Cambria"/>
                <w:lang w:val="en-GB"/>
              </w:rPr>
            </w:pPr>
            <w:r w:rsidRPr="009E0F3B">
              <w:rPr>
                <w:rFonts w:ascii="Cambria" w:hAnsi="Cambria"/>
                <w:lang w:val="en-GB"/>
              </w:rPr>
              <w:t xml:space="preserve">Extraverted </w:t>
            </w:r>
          </w:p>
        </w:tc>
        <w:tc>
          <w:tcPr>
            <w:tcW w:w="1417" w:type="dxa"/>
            <w:vAlign w:val="bottom"/>
          </w:tcPr>
          <w:p w14:paraId="76F3DAC2" w14:textId="77777777" w:rsidR="00872FE0" w:rsidRPr="009E0F3B" w:rsidRDefault="00872FE0" w:rsidP="00872FE0">
            <w:pPr>
              <w:jc w:val="center"/>
              <w:rPr>
                <w:rFonts w:ascii="Cambria" w:hAnsi="Cambria"/>
                <w:lang w:val="en-GB"/>
              </w:rPr>
            </w:pPr>
            <w:r w:rsidRPr="009E0F3B">
              <w:rPr>
                <w:rFonts w:ascii="Cambria" w:hAnsi="Cambria"/>
                <w:lang w:val="en-GB"/>
              </w:rPr>
              <w:t>13</w:t>
            </w:r>
          </w:p>
        </w:tc>
        <w:tc>
          <w:tcPr>
            <w:tcW w:w="1560" w:type="dxa"/>
            <w:vAlign w:val="bottom"/>
          </w:tcPr>
          <w:p w14:paraId="041C2B95" w14:textId="77777777" w:rsidR="00872FE0" w:rsidRPr="009E0F3B" w:rsidRDefault="00872FE0" w:rsidP="00872FE0">
            <w:pPr>
              <w:jc w:val="center"/>
              <w:rPr>
                <w:rFonts w:ascii="Cambria" w:hAnsi="Cambria"/>
                <w:lang w:val="en-GB"/>
              </w:rPr>
            </w:pPr>
            <w:r w:rsidRPr="009E0F3B">
              <w:rPr>
                <w:rFonts w:ascii="Cambria" w:hAnsi="Cambria"/>
                <w:lang w:val="en-GB"/>
              </w:rPr>
              <w:t>1,3%</w:t>
            </w:r>
          </w:p>
        </w:tc>
        <w:tc>
          <w:tcPr>
            <w:tcW w:w="1417" w:type="dxa"/>
            <w:vAlign w:val="bottom"/>
          </w:tcPr>
          <w:p w14:paraId="47C0A435" w14:textId="77777777" w:rsidR="00872FE0" w:rsidRPr="009E0F3B" w:rsidRDefault="00872FE0" w:rsidP="00872FE0">
            <w:pPr>
              <w:jc w:val="center"/>
              <w:rPr>
                <w:rFonts w:ascii="Cambria" w:hAnsi="Cambria"/>
                <w:lang w:val="en-GB"/>
              </w:rPr>
            </w:pPr>
            <w:r w:rsidRPr="009E0F3B">
              <w:rPr>
                <w:rFonts w:ascii="Cambria" w:hAnsi="Cambria"/>
                <w:lang w:val="en-GB"/>
              </w:rPr>
              <w:t>50</w:t>
            </w:r>
          </w:p>
        </w:tc>
        <w:tc>
          <w:tcPr>
            <w:tcW w:w="1554" w:type="dxa"/>
            <w:vAlign w:val="bottom"/>
          </w:tcPr>
          <w:p w14:paraId="44685E1E" w14:textId="77777777" w:rsidR="00872FE0" w:rsidRPr="009E0F3B" w:rsidRDefault="00872FE0" w:rsidP="00872FE0">
            <w:pPr>
              <w:jc w:val="center"/>
              <w:rPr>
                <w:rFonts w:ascii="Cambria" w:hAnsi="Cambria"/>
                <w:lang w:val="en-GB"/>
              </w:rPr>
            </w:pPr>
            <w:r w:rsidRPr="009E0F3B">
              <w:rPr>
                <w:rFonts w:ascii="Cambria" w:hAnsi="Cambria"/>
                <w:lang w:val="en-GB"/>
              </w:rPr>
              <w:t>2,4%</w:t>
            </w:r>
          </w:p>
        </w:tc>
      </w:tr>
      <w:tr w:rsidR="00872FE0" w:rsidRPr="009E0F3B" w14:paraId="4358EA94" w14:textId="77777777" w:rsidTr="00C02DA7">
        <w:tc>
          <w:tcPr>
            <w:tcW w:w="3114" w:type="dxa"/>
            <w:vAlign w:val="center"/>
          </w:tcPr>
          <w:p w14:paraId="6B508E23" w14:textId="58A1D7BA" w:rsidR="00872FE0" w:rsidRPr="009E0F3B" w:rsidRDefault="00872FE0" w:rsidP="00872FE0">
            <w:pPr>
              <w:rPr>
                <w:rFonts w:ascii="Cambria" w:hAnsi="Cambria"/>
                <w:lang w:val="en-GB"/>
              </w:rPr>
            </w:pPr>
            <w:r w:rsidRPr="009E0F3B">
              <w:rPr>
                <w:rFonts w:ascii="Cambria" w:hAnsi="Cambria"/>
                <w:lang w:val="en-GB"/>
              </w:rPr>
              <w:t>Cooperative, agreeable</w:t>
            </w:r>
          </w:p>
        </w:tc>
        <w:tc>
          <w:tcPr>
            <w:tcW w:w="1417" w:type="dxa"/>
            <w:vAlign w:val="bottom"/>
          </w:tcPr>
          <w:p w14:paraId="0C69C470" w14:textId="77777777" w:rsidR="00872FE0" w:rsidRPr="009E0F3B" w:rsidRDefault="00872FE0" w:rsidP="00872FE0">
            <w:pPr>
              <w:jc w:val="center"/>
              <w:rPr>
                <w:rFonts w:ascii="Cambria" w:hAnsi="Cambria"/>
                <w:lang w:val="en-GB"/>
              </w:rPr>
            </w:pPr>
            <w:r w:rsidRPr="009E0F3B">
              <w:rPr>
                <w:rFonts w:ascii="Cambria" w:hAnsi="Cambria"/>
                <w:lang w:val="en-GB"/>
              </w:rPr>
              <w:t>209</w:t>
            </w:r>
          </w:p>
        </w:tc>
        <w:tc>
          <w:tcPr>
            <w:tcW w:w="1560" w:type="dxa"/>
            <w:vAlign w:val="bottom"/>
          </w:tcPr>
          <w:p w14:paraId="50A1A992" w14:textId="77777777" w:rsidR="00872FE0" w:rsidRPr="009E0F3B" w:rsidRDefault="00872FE0" w:rsidP="00872FE0">
            <w:pPr>
              <w:jc w:val="center"/>
              <w:rPr>
                <w:rFonts w:ascii="Cambria" w:hAnsi="Cambria"/>
                <w:lang w:val="en-GB"/>
              </w:rPr>
            </w:pPr>
            <w:r w:rsidRPr="009E0F3B">
              <w:rPr>
                <w:rFonts w:ascii="Cambria" w:hAnsi="Cambria"/>
                <w:lang w:val="en-GB"/>
              </w:rPr>
              <w:t>20,5%</w:t>
            </w:r>
          </w:p>
        </w:tc>
        <w:tc>
          <w:tcPr>
            <w:tcW w:w="1417" w:type="dxa"/>
            <w:vAlign w:val="bottom"/>
          </w:tcPr>
          <w:p w14:paraId="64F3184F" w14:textId="77777777" w:rsidR="00872FE0" w:rsidRPr="009E0F3B" w:rsidRDefault="00872FE0" w:rsidP="00872FE0">
            <w:pPr>
              <w:jc w:val="center"/>
              <w:rPr>
                <w:rFonts w:ascii="Cambria" w:hAnsi="Cambria"/>
                <w:lang w:val="en-GB"/>
              </w:rPr>
            </w:pPr>
            <w:r w:rsidRPr="009E0F3B">
              <w:rPr>
                <w:rFonts w:ascii="Cambria" w:hAnsi="Cambria"/>
                <w:lang w:val="en-GB"/>
              </w:rPr>
              <w:t>488</w:t>
            </w:r>
          </w:p>
        </w:tc>
        <w:tc>
          <w:tcPr>
            <w:tcW w:w="1554" w:type="dxa"/>
            <w:vAlign w:val="bottom"/>
          </w:tcPr>
          <w:p w14:paraId="5CF87978" w14:textId="77777777" w:rsidR="00872FE0" w:rsidRPr="009E0F3B" w:rsidRDefault="00872FE0" w:rsidP="00872FE0">
            <w:pPr>
              <w:jc w:val="center"/>
              <w:rPr>
                <w:rFonts w:ascii="Cambria" w:hAnsi="Cambria"/>
                <w:lang w:val="en-GB"/>
              </w:rPr>
            </w:pPr>
            <w:r w:rsidRPr="009E0F3B">
              <w:rPr>
                <w:rFonts w:ascii="Cambria" w:hAnsi="Cambria"/>
                <w:lang w:val="en-GB"/>
              </w:rPr>
              <w:t>23,3%</w:t>
            </w:r>
          </w:p>
        </w:tc>
      </w:tr>
      <w:tr w:rsidR="00872FE0" w:rsidRPr="009E0F3B" w14:paraId="4569FF59" w14:textId="77777777" w:rsidTr="00C02DA7">
        <w:tc>
          <w:tcPr>
            <w:tcW w:w="3114" w:type="dxa"/>
            <w:vAlign w:val="center"/>
          </w:tcPr>
          <w:p w14:paraId="452BFE84" w14:textId="0474A06B" w:rsidR="00872FE0" w:rsidRPr="009E0F3B" w:rsidRDefault="00872FE0" w:rsidP="00872FE0">
            <w:pPr>
              <w:rPr>
                <w:rFonts w:ascii="Cambria" w:hAnsi="Cambria"/>
                <w:lang w:val="en-GB"/>
              </w:rPr>
            </w:pPr>
            <w:r w:rsidRPr="009E0F3B">
              <w:rPr>
                <w:rFonts w:ascii="Cambria" w:hAnsi="Cambria"/>
                <w:lang w:val="en-GB"/>
              </w:rPr>
              <w:t>Conscientious</w:t>
            </w:r>
          </w:p>
        </w:tc>
        <w:tc>
          <w:tcPr>
            <w:tcW w:w="1417" w:type="dxa"/>
            <w:vAlign w:val="bottom"/>
          </w:tcPr>
          <w:p w14:paraId="43CFE41F" w14:textId="77777777" w:rsidR="00872FE0" w:rsidRPr="009E0F3B" w:rsidRDefault="00872FE0" w:rsidP="00872FE0">
            <w:pPr>
              <w:jc w:val="center"/>
              <w:rPr>
                <w:rFonts w:ascii="Cambria" w:hAnsi="Cambria"/>
                <w:lang w:val="en-GB"/>
              </w:rPr>
            </w:pPr>
            <w:r w:rsidRPr="009E0F3B">
              <w:rPr>
                <w:rFonts w:ascii="Cambria" w:hAnsi="Cambria"/>
                <w:lang w:val="en-GB"/>
              </w:rPr>
              <w:t>140</w:t>
            </w:r>
          </w:p>
        </w:tc>
        <w:tc>
          <w:tcPr>
            <w:tcW w:w="1560" w:type="dxa"/>
            <w:vAlign w:val="bottom"/>
          </w:tcPr>
          <w:p w14:paraId="196F4EC2" w14:textId="77777777" w:rsidR="00872FE0" w:rsidRPr="009E0F3B" w:rsidRDefault="00872FE0" w:rsidP="00872FE0">
            <w:pPr>
              <w:jc w:val="center"/>
              <w:rPr>
                <w:rFonts w:ascii="Cambria" w:hAnsi="Cambria"/>
                <w:lang w:val="en-GB"/>
              </w:rPr>
            </w:pPr>
            <w:r w:rsidRPr="009E0F3B">
              <w:rPr>
                <w:rFonts w:ascii="Cambria" w:hAnsi="Cambria"/>
                <w:lang w:val="en-GB"/>
              </w:rPr>
              <w:t>13,7%</w:t>
            </w:r>
          </w:p>
        </w:tc>
        <w:tc>
          <w:tcPr>
            <w:tcW w:w="1417" w:type="dxa"/>
            <w:vAlign w:val="bottom"/>
          </w:tcPr>
          <w:p w14:paraId="5E2D259E" w14:textId="77777777" w:rsidR="00872FE0" w:rsidRPr="009E0F3B" w:rsidRDefault="00872FE0" w:rsidP="00872FE0">
            <w:pPr>
              <w:jc w:val="center"/>
              <w:rPr>
                <w:rFonts w:ascii="Cambria" w:hAnsi="Cambria"/>
                <w:lang w:val="en-GB"/>
              </w:rPr>
            </w:pPr>
            <w:r w:rsidRPr="009E0F3B">
              <w:rPr>
                <w:rFonts w:ascii="Cambria" w:hAnsi="Cambria"/>
                <w:lang w:val="en-GB"/>
              </w:rPr>
              <w:t>318</w:t>
            </w:r>
          </w:p>
        </w:tc>
        <w:tc>
          <w:tcPr>
            <w:tcW w:w="1554" w:type="dxa"/>
            <w:vAlign w:val="bottom"/>
          </w:tcPr>
          <w:p w14:paraId="050900A2" w14:textId="77777777" w:rsidR="00872FE0" w:rsidRPr="009E0F3B" w:rsidRDefault="00872FE0" w:rsidP="00872FE0">
            <w:pPr>
              <w:jc w:val="center"/>
              <w:rPr>
                <w:rFonts w:ascii="Cambria" w:hAnsi="Cambria"/>
                <w:lang w:val="en-GB"/>
              </w:rPr>
            </w:pPr>
            <w:r w:rsidRPr="009E0F3B">
              <w:rPr>
                <w:rFonts w:ascii="Cambria" w:hAnsi="Cambria"/>
                <w:lang w:val="en-GB"/>
              </w:rPr>
              <w:t>15,2%</w:t>
            </w:r>
          </w:p>
        </w:tc>
      </w:tr>
      <w:tr w:rsidR="00872FE0" w:rsidRPr="009E0F3B" w14:paraId="42A304CD" w14:textId="77777777" w:rsidTr="00C02DA7">
        <w:tc>
          <w:tcPr>
            <w:tcW w:w="3114" w:type="dxa"/>
            <w:vAlign w:val="center"/>
          </w:tcPr>
          <w:p w14:paraId="0E75D187" w14:textId="31DF171C" w:rsidR="00872FE0" w:rsidRPr="009E0F3B" w:rsidRDefault="00872FE0" w:rsidP="00872FE0">
            <w:pPr>
              <w:rPr>
                <w:rFonts w:ascii="Cambria" w:hAnsi="Cambria"/>
                <w:lang w:val="en-GB"/>
              </w:rPr>
            </w:pPr>
            <w:r w:rsidRPr="009E0F3B">
              <w:rPr>
                <w:rFonts w:ascii="Cambria" w:hAnsi="Cambria"/>
                <w:lang w:val="en-GB"/>
              </w:rPr>
              <w:t>Emotional</w:t>
            </w:r>
          </w:p>
        </w:tc>
        <w:tc>
          <w:tcPr>
            <w:tcW w:w="1417" w:type="dxa"/>
            <w:vAlign w:val="bottom"/>
          </w:tcPr>
          <w:p w14:paraId="58F3D380" w14:textId="77777777" w:rsidR="00872FE0" w:rsidRPr="009E0F3B" w:rsidRDefault="00872FE0" w:rsidP="00872FE0">
            <w:pPr>
              <w:jc w:val="center"/>
              <w:rPr>
                <w:rFonts w:ascii="Cambria" w:hAnsi="Cambria"/>
                <w:lang w:val="en-GB"/>
              </w:rPr>
            </w:pPr>
            <w:r w:rsidRPr="009E0F3B">
              <w:rPr>
                <w:rFonts w:ascii="Cambria" w:hAnsi="Cambria"/>
                <w:lang w:val="en-GB"/>
              </w:rPr>
              <w:t>48</w:t>
            </w:r>
          </w:p>
        </w:tc>
        <w:tc>
          <w:tcPr>
            <w:tcW w:w="1560" w:type="dxa"/>
            <w:vAlign w:val="bottom"/>
          </w:tcPr>
          <w:p w14:paraId="1D05BCD4" w14:textId="77777777" w:rsidR="00872FE0" w:rsidRPr="009E0F3B" w:rsidRDefault="00872FE0" w:rsidP="00872FE0">
            <w:pPr>
              <w:jc w:val="center"/>
              <w:rPr>
                <w:rFonts w:ascii="Cambria" w:hAnsi="Cambria"/>
                <w:lang w:val="en-GB"/>
              </w:rPr>
            </w:pPr>
            <w:r w:rsidRPr="009E0F3B">
              <w:rPr>
                <w:rFonts w:ascii="Cambria" w:hAnsi="Cambria"/>
                <w:lang w:val="en-GB"/>
              </w:rPr>
              <w:t>4,7%</w:t>
            </w:r>
          </w:p>
        </w:tc>
        <w:tc>
          <w:tcPr>
            <w:tcW w:w="1417" w:type="dxa"/>
            <w:vAlign w:val="bottom"/>
          </w:tcPr>
          <w:p w14:paraId="0029D701" w14:textId="77777777" w:rsidR="00872FE0" w:rsidRPr="009E0F3B" w:rsidRDefault="00872FE0" w:rsidP="00872FE0">
            <w:pPr>
              <w:jc w:val="center"/>
              <w:rPr>
                <w:rFonts w:ascii="Cambria" w:hAnsi="Cambria"/>
                <w:lang w:val="en-GB"/>
              </w:rPr>
            </w:pPr>
            <w:r w:rsidRPr="009E0F3B">
              <w:rPr>
                <w:rFonts w:ascii="Cambria" w:hAnsi="Cambria"/>
                <w:lang w:val="en-GB"/>
              </w:rPr>
              <w:t>114</w:t>
            </w:r>
          </w:p>
        </w:tc>
        <w:tc>
          <w:tcPr>
            <w:tcW w:w="1554" w:type="dxa"/>
            <w:vAlign w:val="bottom"/>
          </w:tcPr>
          <w:p w14:paraId="6029E780" w14:textId="77777777" w:rsidR="00872FE0" w:rsidRPr="009E0F3B" w:rsidRDefault="00872FE0" w:rsidP="00872FE0">
            <w:pPr>
              <w:jc w:val="center"/>
              <w:rPr>
                <w:rFonts w:ascii="Cambria" w:hAnsi="Cambria"/>
                <w:lang w:val="en-GB"/>
              </w:rPr>
            </w:pPr>
            <w:r w:rsidRPr="009E0F3B">
              <w:rPr>
                <w:rFonts w:ascii="Cambria" w:hAnsi="Cambria"/>
                <w:lang w:val="en-GB"/>
              </w:rPr>
              <w:t>5,5%</w:t>
            </w:r>
          </w:p>
        </w:tc>
      </w:tr>
      <w:tr w:rsidR="00872FE0" w:rsidRPr="009E0F3B" w14:paraId="64AC8A33" w14:textId="77777777" w:rsidTr="00C02DA7">
        <w:tc>
          <w:tcPr>
            <w:tcW w:w="3114" w:type="dxa"/>
            <w:vAlign w:val="center"/>
          </w:tcPr>
          <w:p w14:paraId="02FBF289" w14:textId="7AAC8C78" w:rsidR="00872FE0" w:rsidRPr="009E0F3B" w:rsidRDefault="00872FE0" w:rsidP="00872FE0">
            <w:pPr>
              <w:rPr>
                <w:rFonts w:ascii="Cambria" w:hAnsi="Cambria"/>
                <w:lang w:val="en-GB"/>
              </w:rPr>
            </w:pPr>
            <w:r w:rsidRPr="009E0F3B">
              <w:rPr>
                <w:rFonts w:ascii="Cambria" w:hAnsi="Cambria"/>
                <w:lang w:val="en-GB"/>
              </w:rPr>
              <w:t>Open to new experiences</w:t>
            </w:r>
          </w:p>
        </w:tc>
        <w:tc>
          <w:tcPr>
            <w:tcW w:w="1417" w:type="dxa"/>
            <w:vAlign w:val="bottom"/>
          </w:tcPr>
          <w:p w14:paraId="16941EE1" w14:textId="77777777" w:rsidR="00872FE0" w:rsidRPr="009E0F3B" w:rsidRDefault="00872FE0" w:rsidP="00872FE0">
            <w:pPr>
              <w:jc w:val="center"/>
              <w:rPr>
                <w:rFonts w:ascii="Cambria" w:hAnsi="Cambria"/>
                <w:lang w:val="en-GB"/>
              </w:rPr>
            </w:pPr>
            <w:r w:rsidRPr="009E0F3B">
              <w:rPr>
                <w:rFonts w:ascii="Cambria" w:hAnsi="Cambria"/>
                <w:lang w:val="en-GB"/>
              </w:rPr>
              <w:t>51</w:t>
            </w:r>
          </w:p>
        </w:tc>
        <w:tc>
          <w:tcPr>
            <w:tcW w:w="1560" w:type="dxa"/>
            <w:vAlign w:val="bottom"/>
          </w:tcPr>
          <w:p w14:paraId="4B715E8E" w14:textId="77777777" w:rsidR="00872FE0" w:rsidRPr="009E0F3B" w:rsidRDefault="00872FE0" w:rsidP="00872FE0">
            <w:pPr>
              <w:jc w:val="center"/>
              <w:rPr>
                <w:rFonts w:ascii="Cambria" w:hAnsi="Cambria"/>
                <w:lang w:val="en-GB"/>
              </w:rPr>
            </w:pPr>
            <w:r w:rsidRPr="009E0F3B">
              <w:rPr>
                <w:rFonts w:ascii="Cambria" w:hAnsi="Cambria"/>
                <w:lang w:val="en-GB"/>
              </w:rPr>
              <w:t>5%</w:t>
            </w:r>
          </w:p>
        </w:tc>
        <w:tc>
          <w:tcPr>
            <w:tcW w:w="1417" w:type="dxa"/>
            <w:vAlign w:val="bottom"/>
          </w:tcPr>
          <w:p w14:paraId="57453CA2" w14:textId="77777777" w:rsidR="00872FE0" w:rsidRPr="009E0F3B" w:rsidRDefault="00872FE0" w:rsidP="00872FE0">
            <w:pPr>
              <w:jc w:val="center"/>
              <w:rPr>
                <w:rFonts w:ascii="Cambria" w:hAnsi="Cambria"/>
                <w:lang w:val="en-GB"/>
              </w:rPr>
            </w:pPr>
            <w:r w:rsidRPr="009E0F3B">
              <w:rPr>
                <w:rFonts w:ascii="Cambria" w:hAnsi="Cambria"/>
                <w:lang w:val="en-GB"/>
              </w:rPr>
              <w:t>78</w:t>
            </w:r>
          </w:p>
        </w:tc>
        <w:tc>
          <w:tcPr>
            <w:tcW w:w="1554" w:type="dxa"/>
            <w:vAlign w:val="bottom"/>
          </w:tcPr>
          <w:p w14:paraId="163404E5" w14:textId="77777777" w:rsidR="00872FE0" w:rsidRPr="009E0F3B" w:rsidRDefault="00872FE0" w:rsidP="00872FE0">
            <w:pPr>
              <w:jc w:val="center"/>
              <w:rPr>
                <w:rFonts w:ascii="Cambria" w:hAnsi="Cambria"/>
                <w:lang w:val="en-GB"/>
              </w:rPr>
            </w:pPr>
            <w:r w:rsidRPr="009E0F3B">
              <w:rPr>
                <w:rFonts w:ascii="Cambria" w:hAnsi="Cambria"/>
                <w:lang w:val="en-GB"/>
              </w:rPr>
              <w:t>3,7%</w:t>
            </w:r>
          </w:p>
        </w:tc>
      </w:tr>
      <w:tr w:rsidR="00872FE0" w:rsidRPr="009E0F3B" w14:paraId="18846517" w14:textId="77777777" w:rsidTr="00C02DA7">
        <w:tc>
          <w:tcPr>
            <w:tcW w:w="3114" w:type="dxa"/>
            <w:vAlign w:val="center"/>
          </w:tcPr>
          <w:p w14:paraId="4A3EAB88" w14:textId="4720FF65" w:rsidR="00872FE0" w:rsidRPr="009E0F3B" w:rsidRDefault="00872FE0" w:rsidP="00872FE0">
            <w:pPr>
              <w:rPr>
                <w:rFonts w:ascii="Cambria" w:hAnsi="Cambria"/>
                <w:lang w:val="en-GB"/>
              </w:rPr>
            </w:pPr>
            <w:r w:rsidRPr="009E0F3B">
              <w:rPr>
                <w:rFonts w:ascii="Cambria" w:hAnsi="Cambria"/>
                <w:lang w:val="en-GB"/>
              </w:rPr>
              <w:t>N</w:t>
            </w:r>
            <w:r w:rsidR="00BD5071" w:rsidRPr="009E0F3B">
              <w:rPr>
                <w:rFonts w:ascii="Cambria" w:hAnsi="Cambria"/>
                <w:lang w:val="en-GB"/>
              </w:rPr>
              <w:t>o response</w:t>
            </w:r>
          </w:p>
        </w:tc>
        <w:tc>
          <w:tcPr>
            <w:tcW w:w="1417" w:type="dxa"/>
            <w:vAlign w:val="bottom"/>
          </w:tcPr>
          <w:p w14:paraId="6147548D" w14:textId="77777777" w:rsidR="00872FE0" w:rsidRPr="009E0F3B" w:rsidRDefault="00872FE0" w:rsidP="00872FE0">
            <w:pPr>
              <w:jc w:val="center"/>
              <w:rPr>
                <w:rFonts w:ascii="Cambria" w:hAnsi="Cambria"/>
                <w:lang w:val="en-GB"/>
              </w:rPr>
            </w:pPr>
            <w:r w:rsidRPr="009E0F3B">
              <w:rPr>
                <w:rFonts w:ascii="Cambria" w:hAnsi="Cambria"/>
                <w:lang w:val="en-GB"/>
              </w:rPr>
              <w:t>559</w:t>
            </w:r>
          </w:p>
        </w:tc>
        <w:tc>
          <w:tcPr>
            <w:tcW w:w="1560" w:type="dxa"/>
            <w:vAlign w:val="bottom"/>
          </w:tcPr>
          <w:p w14:paraId="08837E64" w14:textId="77777777" w:rsidR="00872FE0" w:rsidRPr="009E0F3B" w:rsidRDefault="00872FE0" w:rsidP="00872FE0">
            <w:pPr>
              <w:jc w:val="center"/>
              <w:rPr>
                <w:rFonts w:ascii="Cambria" w:hAnsi="Cambria"/>
                <w:lang w:val="en-GB"/>
              </w:rPr>
            </w:pPr>
            <w:r w:rsidRPr="009E0F3B">
              <w:rPr>
                <w:rFonts w:ascii="Cambria" w:hAnsi="Cambria"/>
                <w:lang w:val="en-GB"/>
              </w:rPr>
              <w:t>54,8%</w:t>
            </w:r>
          </w:p>
        </w:tc>
        <w:tc>
          <w:tcPr>
            <w:tcW w:w="1417" w:type="dxa"/>
            <w:vAlign w:val="bottom"/>
          </w:tcPr>
          <w:p w14:paraId="37947BA6" w14:textId="77777777" w:rsidR="00872FE0" w:rsidRPr="009E0F3B" w:rsidRDefault="00872FE0" w:rsidP="00872FE0">
            <w:pPr>
              <w:jc w:val="center"/>
              <w:rPr>
                <w:rFonts w:ascii="Cambria" w:hAnsi="Cambria"/>
                <w:lang w:val="en-GB"/>
              </w:rPr>
            </w:pPr>
            <w:r w:rsidRPr="009E0F3B">
              <w:rPr>
                <w:rFonts w:ascii="Cambria" w:hAnsi="Cambria"/>
                <w:lang w:val="en-GB"/>
              </w:rPr>
              <w:t>1043</w:t>
            </w:r>
          </w:p>
        </w:tc>
        <w:tc>
          <w:tcPr>
            <w:tcW w:w="1554" w:type="dxa"/>
            <w:vAlign w:val="bottom"/>
          </w:tcPr>
          <w:p w14:paraId="5658676B" w14:textId="77777777" w:rsidR="00872FE0" w:rsidRPr="009E0F3B" w:rsidRDefault="00872FE0" w:rsidP="00872FE0">
            <w:pPr>
              <w:keepNext/>
              <w:jc w:val="center"/>
              <w:rPr>
                <w:rFonts w:ascii="Cambria" w:hAnsi="Cambria"/>
                <w:lang w:val="en-GB"/>
              </w:rPr>
            </w:pPr>
            <w:r w:rsidRPr="009E0F3B">
              <w:rPr>
                <w:rFonts w:ascii="Cambria" w:hAnsi="Cambria"/>
                <w:lang w:val="en-GB"/>
              </w:rPr>
              <w:t>49,9%</w:t>
            </w:r>
          </w:p>
        </w:tc>
      </w:tr>
    </w:tbl>
    <w:p w14:paraId="446614C6" w14:textId="2D670B3B" w:rsidR="00872FE0" w:rsidRPr="009E0F3B" w:rsidRDefault="00872FE0" w:rsidP="00872FE0">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00735970" w:rsidRPr="009E0F3B">
        <w:rPr>
          <w:noProof/>
          <w:lang w:val="en-GB"/>
        </w:rPr>
        <w:t>6</w:t>
      </w:r>
      <w:r w:rsidRPr="009E0F3B">
        <w:rPr>
          <w:lang w:val="en-GB"/>
        </w:rPr>
        <w:fldChar w:fldCharType="end"/>
      </w:r>
      <w:r w:rsidRPr="009E0F3B">
        <w:rPr>
          <w:lang w:val="en-GB"/>
        </w:rPr>
        <w:t xml:space="preserve"> </w:t>
      </w:r>
      <w:proofErr w:type="spellStart"/>
      <w:r w:rsidRPr="009E0F3B">
        <w:rPr>
          <w:lang w:val="en-GB"/>
        </w:rPr>
        <w:t>Subsamokes</w:t>
      </w:r>
      <w:proofErr w:type="spellEnd"/>
      <w:r w:rsidRPr="009E0F3B">
        <w:rPr>
          <w:lang w:val="en-GB"/>
        </w:rPr>
        <w:t xml:space="preserve"> of sex and educational institution for the indicators</w:t>
      </w:r>
    </w:p>
    <w:p w14:paraId="02469878" w14:textId="78886689" w:rsidR="00355C43" w:rsidRPr="009E0F3B" w:rsidRDefault="00BD5071" w:rsidP="00355C43">
      <w:pPr>
        <w:ind w:firstLine="708"/>
        <w:jc w:val="both"/>
        <w:rPr>
          <w:rFonts w:ascii="Cambria" w:hAnsi="Cambria"/>
          <w:sz w:val="24"/>
          <w:szCs w:val="24"/>
          <w:lang w:val="en-GB"/>
        </w:rPr>
      </w:pPr>
      <w:r w:rsidRPr="009E0F3B">
        <w:rPr>
          <w:rFonts w:ascii="Cambria" w:hAnsi="Cambria"/>
          <w:sz w:val="24"/>
          <w:szCs w:val="24"/>
          <w:lang w:val="en-GB"/>
        </w:rPr>
        <w:t>The distribution of responses among male respondents, excluding non-respondents, is as follows: 2.8%, 45.3%, 30.4%, 10.4%, and 11.1%. For female respondents, the distribution is 4.8%, 46.6%, 30.3%, 10.9%, and 7.4%. Additionally, a radar chart (Figure 1) visually represents the sex distribution.</w:t>
      </w:r>
    </w:p>
    <w:p w14:paraId="53588FE5" w14:textId="77777777" w:rsidR="00BD5071" w:rsidRPr="009E0F3B" w:rsidRDefault="00BD5071" w:rsidP="00BD5071">
      <w:pPr>
        <w:keepNext/>
        <w:ind w:firstLine="708"/>
        <w:jc w:val="center"/>
        <w:rPr>
          <w:lang w:val="en-GB"/>
        </w:rPr>
      </w:pPr>
      <w:r w:rsidRPr="009E0F3B">
        <w:rPr>
          <w:noProof/>
          <w:lang w:val="en-GB" w:eastAsia="sk-SK"/>
        </w:rPr>
        <w:drawing>
          <wp:inline distT="0" distB="0" distL="0" distR="0" wp14:anchorId="108C3ED0" wp14:editId="3CA72314">
            <wp:extent cx="5760720" cy="4239895"/>
            <wp:effectExtent l="0" t="0" r="11430" b="8255"/>
            <wp:docPr id="1" name="Diagram 1">
              <a:extLst xmlns:a="http://schemas.openxmlformats.org/drawingml/2006/main">
                <a:ext uri="{FF2B5EF4-FFF2-40B4-BE49-F238E27FC236}">
                  <a16:creationId xmlns:a16="http://schemas.microsoft.com/office/drawing/2014/main" id="{5148D33E-5B2B-DC40-B3A1-423C2EB66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AC12E8" w14:textId="538DFADD" w:rsidR="00994EF6" w:rsidRPr="009E0F3B" w:rsidRDefault="00BD5071" w:rsidP="00BD5071">
      <w:pPr>
        <w:pStyle w:val="Kpalrs"/>
        <w:jc w:val="center"/>
        <w:rPr>
          <w:rFonts w:ascii="Cambria" w:hAnsi="Cambria"/>
          <w:sz w:val="24"/>
          <w:szCs w:val="24"/>
          <w:lang w:val="en-GB"/>
        </w:rPr>
      </w:pPr>
      <w:r w:rsidRPr="009E0F3B">
        <w:rPr>
          <w:lang w:val="en-GB"/>
        </w:rPr>
        <w:t xml:space="preserve">Figure </w:t>
      </w:r>
      <w:r w:rsidRPr="009E0F3B">
        <w:rPr>
          <w:lang w:val="en-GB"/>
        </w:rPr>
        <w:fldChar w:fldCharType="begin"/>
      </w:r>
      <w:r w:rsidRPr="009E0F3B">
        <w:rPr>
          <w:lang w:val="en-GB"/>
        </w:rPr>
        <w:instrText xml:space="preserve"> SEQ Figure \* ARABIC </w:instrText>
      </w:r>
      <w:r w:rsidRPr="009E0F3B">
        <w:rPr>
          <w:lang w:val="en-GB"/>
        </w:rPr>
        <w:fldChar w:fldCharType="separate"/>
      </w:r>
      <w:r w:rsidR="00F919C5" w:rsidRPr="009E0F3B">
        <w:rPr>
          <w:noProof/>
          <w:lang w:val="en-GB"/>
        </w:rPr>
        <w:t>1</w:t>
      </w:r>
      <w:r w:rsidRPr="009E0F3B">
        <w:rPr>
          <w:lang w:val="en-GB"/>
        </w:rPr>
        <w:fldChar w:fldCharType="end"/>
      </w:r>
      <w:r w:rsidRPr="009E0F3B">
        <w:rPr>
          <w:lang w:val="en-GB"/>
        </w:rPr>
        <w:t xml:space="preserve"> Matching views on teacher authority</w:t>
      </w:r>
    </w:p>
    <w:p w14:paraId="685E4258" w14:textId="61B6B449" w:rsidR="00F20BAC" w:rsidRPr="009E0F3B" w:rsidRDefault="00C02DA7" w:rsidP="00F33ECF">
      <w:pPr>
        <w:ind w:firstLine="708"/>
        <w:jc w:val="both"/>
        <w:rPr>
          <w:rFonts w:ascii="Cambria" w:hAnsi="Cambria"/>
          <w:sz w:val="24"/>
          <w:szCs w:val="24"/>
          <w:lang w:val="en-GB"/>
        </w:rPr>
      </w:pPr>
      <w:r w:rsidRPr="009E0F3B">
        <w:rPr>
          <w:rFonts w:ascii="Cambria" w:hAnsi="Cambria"/>
          <w:sz w:val="24"/>
          <w:szCs w:val="24"/>
          <w:lang w:val="en-GB"/>
        </w:rPr>
        <w:t xml:space="preserve">The most significant </w:t>
      </w:r>
      <w:r w:rsidR="003D0710" w:rsidRPr="009E0F3B">
        <w:rPr>
          <w:rFonts w:ascii="Cambria" w:hAnsi="Cambria"/>
          <w:sz w:val="24"/>
          <w:szCs w:val="24"/>
          <w:lang w:val="en-GB"/>
        </w:rPr>
        <w:t>difference</w:t>
      </w:r>
      <w:r w:rsidRPr="009E0F3B">
        <w:rPr>
          <w:rFonts w:ascii="Cambria" w:hAnsi="Cambria"/>
          <w:sz w:val="24"/>
          <w:szCs w:val="24"/>
          <w:lang w:val="en-GB"/>
        </w:rPr>
        <w:t xml:space="preserve"> was observed in the dimension of openness to experiences, with a difference of 3.7%. Male university students believed that the traits associated with teaching behavio</w:t>
      </w:r>
      <w:r w:rsidR="003D0710" w:rsidRPr="009E0F3B">
        <w:rPr>
          <w:rFonts w:ascii="Cambria" w:hAnsi="Cambria"/>
          <w:sz w:val="24"/>
          <w:szCs w:val="24"/>
          <w:lang w:val="en-GB"/>
        </w:rPr>
        <w:t>u</w:t>
      </w:r>
      <w:r w:rsidRPr="009E0F3B">
        <w:rPr>
          <w:rFonts w:ascii="Cambria" w:hAnsi="Cambria"/>
          <w:sz w:val="24"/>
          <w:szCs w:val="24"/>
          <w:lang w:val="en-GB"/>
        </w:rPr>
        <w:t>r within this dimension</w:t>
      </w:r>
      <w:r w:rsidR="003D0710" w:rsidRPr="009E0F3B">
        <w:rPr>
          <w:rFonts w:ascii="Cambria" w:hAnsi="Cambria"/>
          <w:sz w:val="24"/>
          <w:szCs w:val="24"/>
          <w:lang w:val="en-GB"/>
        </w:rPr>
        <w:t xml:space="preserve"> may contribute more to the loss of teacher authority than female university students. The smallest difference was found </w:t>
      </w:r>
      <w:r w:rsidR="003D0710" w:rsidRPr="009E0F3B">
        <w:rPr>
          <w:rFonts w:ascii="Cambria" w:hAnsi="Cambria"/>
          <w:sz w:val="24"/>
          <w:szCs w:val="24"/>
          <w:lang w:val="en-GB"/>
        </w:rPr>
        <w:lastRenderedPageBreak/>
        <w:t>in the conscientiousness dimension (0.1%).</w:t>
      </w:r>
      <w:r w:rsidRPr="009E0F3B">
        <w:rPr>
          <w:rFonts w:ascii="Cambria" w:hAnsi="Cambria"/>
          <w:sz w:val="24"/>
          <w:szCs w:val="24"/>
          <w:lang w:val="en-GB"/>
        </w:rPr>
        <w:t xml:space="preserve"> The prevalence of the Big Five personality traits in relation to the educational institution background variables is detailed in </w:t>
      </w:r>
      <w:r w:rsidR="003D0710" w:rsidRPr="009E0F3B">
        <w:rPr>
          <w:rFonts w:ascii="Cambria" w:hAnsi="Cambria"/>
          <w:sz w:val="24"/>
          <w:szCs w:val="24"/>
          <w:lang w:val="en-GB"/>
        </w:rPr>
        <w:t>the next table</w:t>
      </w:r>
      <w:r w:rsidRPr="009E0F3B">
        <w:rPr>
          <w:rFonts w:ascii="Cambria" w:hAnsi="Cambria"/>
          <w:sz w:val="24"/>
          <w:szCs w:val="24"/>
          <w:lang w:val="en-GB"/>
        </w:rPr>
        <w:t>.</w:t>
      </w:r>
      <w:r w:rsidR="003D0710" w:rsidRPr="009E0F3B">
        <w:rPr>
          <w:rFonts w:ascii="Cambria" w:hAnsi="Cambria"/>
          <w:sz w:val="24"/>
          <w:szCs w:val="24"/>
          <w:lang w:val="en-GB"/>
        </w:rPr>
        <w:t xml:space="preserve"> </w:t>
      </w:r>
    </w:p>
    <w:tbl>
      <w:tblPr>
        <w:tblStyle w:val="Rcsostblzat"/>
        <w:tblW w:w="0" w:type="auto"/>
        <w:tblLook w:val="04A0" w:firstRow="1" w:lastRow="0" w:firstColumn="1" w:lastColumn="0" w:noHBand="0" w:noVBand="1"/>
      </w:tblPr>
      <w:tblGrid>
        <w:gridCol w:w="2263"/>
        <w:gridCol w:w="1418"/>
        <w:gridCol w:w="1559"/>
        <w:gridCol w:w="1276"/>
        <w:gridCol w:w="1276"/>
        <w:gridCol w:w="1270"/>
      </w:tblGrid>
      <w:tr w:rsidR="003D0710" w:rsidRPr="009E0F3B" w14:paraId="35FC24AA" w14:textId="77777777" w:rsidTr="00C20C6D">
        <w:tc>
          <w:tcPr>
            <w:tcW w:w="2263" w:type="dxa"/>
          </w:tcPr>
          <w:p w14:paraId="61EA12E7" w14:textId="77777777" w:rsidR="003D0710" w:rsidRPr="009E0F3B" w:rsidRDefault="003D0710" w:rsidP="00C20C6D">
            <w:pPr>
              <w:rPr>
                <w:rFonts w:ascii="Cambria" w:hAnsi="Cambria"/>
                <w:lang w:val="en-GB"/>
              </w:rPr>
            </w:pPr>
          </w:p>
        </w:tc>
        <w:tc>
          <w:tcPr>
            <w:tcW w:w="1418" w:type="dxa"/>
            <w:vAlign w:val="center"/>
          </w:tcPr>
          <w:p w14:paraId="6BE414A3" w14:textId="51EC42E5" w:rsidR="003D0710" w:rsidRPr="009E0F3B" w:rsidRDefault="003D0710" w:rsidP="00C20C6D">
            <w:pPr>
              <w:jc w:val="center"/>
              <w:rPr>
                <w:rFonts w:ascii="Cambria" w:hAnsi="Cambria"/>
                <w:lang w:val="en-GB"/>
              </w:rPr>
            </w:pPr>
            <w:r w:rsidRPr="009E0F3B">
              <w:rPr>
                <w:rFonts w:ascii="Cambria" w:hAnsi="Cambria"/>
                <w:lang w:val="en-GB"/>
              </w:rPr>
              <w:t>JSU, SK</w:t>
            </w:r>
          </w:p>
          <w:p w14:paraId="27F8A08F" w14:textId="77777777" w:rsidR="003D0710" w:rsidRPr="009E0F3B" w:rsidRDefault="003D0710" w:rsidP="00C20C6D">
            <w:pPr>
              <w:jc w:val="center"/>
              <w:rPr>
                <w:rFonts w:ascii="Cambria" w:hAnsi="Cambria"/>
                <w:lang w:val="en-GB"/>
              </w:rPr>
            </w:pPr>
            <w:r w:rsidRPr="009E0F3B">
              <w:rPr>
                <w:rFonts w:ascii="Cambria" w:hAnsi="Cambria"/>
                <w:lang w:val="en-GB"/>
              </w:rPr>
              <w:t>(1893)</w:t>
            </w:r>
          </w:p>
        </w:tc>
        <w:tc>
          <w:tcPr>
            <w:tcW w:w="1559" w:type="dxa"/>
            <w:vAlign w:val="center"/>
          </w:tcPr>
          <w:p w14:paraId="083464CB" w14:textId="77777777" w:rsidR="003D0710" w:rsidRPr="009E0F3B" w:rsidRDefault="003D0710" w:rsidP="00C20C6D">
            <w:pPr>
              <w:jc w:val="center"/>
              <w:rPr>
                <w:rFonts w:ascii="Cambria" w:hAnsi="Cambria"/>
                <w:lang w:val="en-GB"/>
              </w:rPr>
            </w:pPr>
            <w:r w:rsidRPr="009E0F3B">
              <w:rPr>
                <w:rFonts w:ascii="Cambria" w:hAnsi="Cambria"/>
                <w:lang w:val="en-GB"/>
              </w:rPr>
              <w:t>EKKE, HU</w:t>
            </w:r>
          </w:p>
          <w:p w14:paraId="5D0B873A" w14:textId="77777777" w:rsidR="003D0710" w:rsidRPr="009E0F3B" w:rsidRDefault="003D0710" w:rsidP="00C20C6D">
            <w:pPr>
              <w:jc w:val="center"/>
              <w:rPr>
                <w:rFonts w:ascii="Cambria" w:hAnsi="Cambria"/>
                <w:lang w:val="en-GB"/>
              </w:rPr>
            </w:pPr>
            <w:r w:rsidRPr="009E0F3B">
              <w:rPr>
                <w:rFonts w:ascii="Cambria" w:hAnsi="Cambria"/>
                <w:lang w:val="en-GB"/>
              </w:rPr>
              <w:t>(393)</w:t>
            </w:r>
          </w:p>
        </w:tc>
        <w:tc>
          <w:tcPr>
            <w:tcW w:w="1276" w:type="dxa"/>
            <w:vAlign w:val="center"/>
          </w:tcPr>
          <w:p w14:paraId="1E4FA0DA" w14:textId="77777777" w:rsidR="003D0710" w:rsidRPr="009E0F3B" w:rsidRDefault="003D0710" w:rsidP="00C20C6D">
            <w:pPr>
              <w:jc w:val="center"/>
              <w:rPr>
                <w:rFonts w:ascii="Cambria" w:hAnsi="Cambria"/>
                <w:lang w:val="en-GB"/>
              </w:rPr>
            </w:pPr>
            <w:r w:rsidRPr="009E0F3B">
              <w:rPr>
                <w:rFonts w:ascii="Cambria" w:hAnsi="Cambria"/>
                <w:lang w:val="en-GB"/>
              </w:rPr>
              <w:t>PKE, RO</w:t>
            </w:r>
          </w:p>
          <w:p w14:paraId="6FDA8A6F" w14:textId="77777777" w:rsidR="003D0710" w:rsidRPr="009E0F3B" w:rsidRDefault="003D0710" w:rsidP="00C20C6D">
            <w:pPr>
              <w:jc w:val="center"/>
              <w:rPr>
                <w:rFonts w:ascii="Cambria" w:hAnsi="Cambria"/>
                <w:lang w:val="en-GB"/>
              </w:rPr>
            </w:pPr>
            <w:r w:rsidRPr="009E0F3B">
              <w:rPr>
                <w:rFonts w:ascii="Cambria" w:hAnsi="Cambria"/>
                <w:lang w:val="en-GB"/>
              </w:rPr>
              <w:t>(309)</w:t>
            </w:r>
          </w:p>
        </w:tc>
        <w:tc>
          <w:tcPr>
            <w:tcW w:w="1276" w:type="dxa"/>
            <w:vAlign w:val="center"/>
          </w:tcPr>
          <w:p w14:paraId="2DFDA9DA" w14:textId="77777777" w:rsidR="003D0710" w:rsidRPr="009E0F3B" w:rsidRDefault="003D0710" w:rsidP="00C20C6D">
            <w:pPr>
              <w:jc w:val="center"/>
              <w:rPr>
                <w:rFonts w:ascii="Cambria" w:hAnsi="Cambria"/>
                <w:lang w:val="en-GB"/>
              </w:rPr>
            </w:pPr>
            <w:r w:rsidRPr="009E0F3B">
              <w:rPr>
                <w:rFonts w:ascii="Cambria" w:hAnsi="Cambria"/>
                <w:lang w:val="en-GB"/>
              </w:rPr>
              <w:t>II. R. F, UK (240)</w:t>
            </w:r>
          </w:p>
        </w:tc>
        <w:tc>
          <w:tcPr>
            <w:tcW w:w="1270" w:type="dxa"/>
            <w:vAlign w:val="center"/>
          </w:tcPr>
          <w:p w14:paraId="7769EED4" w14:textId="77777777" w:rsidR="003D0710" w:rsidRPr="009E0F3B" w:rsidRDefault="003D0710" w:rsidP="00C20C6D">
            <w:pPr>
              <w:jc w:val="center"/>
              <w:rPr>
                <w:rFonts w:ascii="Cambria" w:hAnsi="Cambria"/>
                <w:lang w:val="en-GB"/>
              </w:rPr>
            </w:pPr>
            <w:r w:rsidRPr="009E0F3B">
              <w:rPr>
                <w:rFonts w:ascii="Cambria" w:hAnsi="Cambria"/>
                <w:lang w:val="en-GB"/>
              </w:rPr>
              <w:t>ÚE, SRB (276)</w:t>
            </w:r>
          </w:p>
        </w:tc>
      </w:tr>
      <w:tr w:rsidR="003D0710" w:rsidRPr="009E0F3B" w14:paraId="66A27F9A" w14:textId="77777777" w:rsidTr="00C20C6D">
        <w:trPr>
          <w:trHeight w:val="340"/>
        </w:trPr>
        <w:tc>
          <w:tcPr>
            <w:tcW w:w="2263" w:type="dxa"/>
            <w:vAlign w:val="center"/>
          </w:tcPr>
          <w:p w14:paraId="25176C18" w14:textId="6D5716A0" w:rsidR="003D0710" w:rsidRPr="009E0F3B" w:rsidRDefault="003D0710" w:rsidP="003D0710">
            <w:pPr>
              <w:rPr>
                <w:rFonts w:ascii="Cambria" w:hAnsi="Cambria"/>
                <w:lang w:val="en-GB"/>
              </w:rPr>
            </w:pPr>
            <w:r w:rsidRPr="009E0F3B">
              <w:rPr>
                <w:rFonts w:ascii="Cambria" w:hAnsi="Cambria"/>
                <w:lang w:val="en-GB"/>
              </w:rPr>
              <w:t xml:space="preserve">Extraverted </w:t>
            </w:r>
          </w:p>
        </w:tc>
        <w:tc>
          <w:tcPr>
            <w:tcW w:w="1418" w:type="dxa"/>
            <w:vAlign w:val="center"/>
          </w:tcPr>
          <w:p w14:paraId="0E9AA27F" w14:textId="77777777" w:rsidR="003D0710" w:rsidRPr="009E0F3B" w:rsidRDefault="003D0710" w:rsidP="003D0710">
            <w:pPr>
              <w:jc w:val="center"/>
              <w:rPr>
                <w:rFonts w:ascii="Cambria" w:hAnsi="Cambria"/>
                <w:sz w:val="20"/>
                <w:lang w:val="en-GB"/>
              </w:rPr>
            </w:pPr>
            <w:r w:rsidRPr="009E0F3B">
              <w:rPr>
                <w:rFonts w:ascii="Cambria" w:hAnsi="Cambria"/>
                <w:sz w:val="20"/>
                <w:lang w:val="en-GB"/>
              </w:rPr>
              <w:t>35 (3,6%)</w:t>
            </w:r>
          </w:p>
        </w:tc>
        <w:tc>
          <w:tcPr>
            <w:tcW w:w="1559" w:type="dxa"/>
            <w:vAlign w:val="center"/>
          </w:tcPr>
          <w:p w14:paraId="5D58AA71" w14:textId="77777777" w:rsidR="003D0710" w:rsidRPr="009E0F3B" w:rsidRDefault="003D0710" w:rsidP="003D0710">
            <w:pPr>
              <w:jc w:val="center"/>
              <w:rPr>
                <w:rFonts w:ascii="Cambria" w:hAnsi="Cambria"/>
                <w:lang w:val="en-GB"/>
              </w:rPr>
            </w:pPr>
            <w:r w:rsidRPr="009E0F3B">
              <w:rPr>
                <w:rFonts w:ascii="Cambria" w:hAnsi="Cambria"/>
                <w:lang w:val="en-GB"/>
              </w:rPr>
              <w:t>10 (5,6%)</w:t>
            </w:r>
          </w:p>
        </w:tc>
        <w:tc>
          <w:tcPr>
            <w:tcW w:w="1276" w:type="dxa"/>
            <w:vAlign w:val="center"/>
          </w:tcPr>
          <w:p w14:paraId="2D8F95C1" w14:textId="77777777" w:rsidR="003D0710" w:rsidRPr="009E0F3B" w:rsidRDefault="003D0710" w:rsidP="003D0710">
            <w:pPr>
              <w:jc w:val="center"/>
              <w:rPr>
                <w:rFonts w:ascii="Cambria" w:hAnsi="Cambria"/>
                <w:sz w:val="20"/>
                <w:lang w:val="en-GB"/>
              </w:rPr>
            </w:pPr>
            <w:r w:rsidRPr="009E0F3B">
              <w:rPr>
                <w:rFonts w:ascii="Cambria" w:hAnsi="Cambria"/>
                <w:sz w:val="20"/>
                <w:lang w:val="en-GB"/>
              </w:rPr>
              <w:t>6 (4,5%)</w:t>
            </w:r>
          </w:p>
        </w:tc>
        <w:tc>
          <w:tcPr>
            <w:tcW w:w="1276" w:type="dxa"/>
            <w:vAlign w:val="center"/>
          </w:tcPr>
          <w:p w14:paraId="7870EBBF" w14:textId="77777777" w:rsidR="003D0710" w:rsidRPr="009E0F3B" w:rsidRDefault="003D0710" w:rsidP="003D0710">
            <w:pPr>
              <w:jc w:val="center"/>
              <w:rPr>
                <w:rFonts w:ascii="Cambria" w:hAnsi="Cambria"/>
                <w:lang w:val="en-GB"/>
              </w:rPr>
            </w:pPr>
            <w:r w:rsidRPr="009E0F3B">
              <w:rPr>
                <w:rFonts w:ascii="Cambria" w:hAnsi="Cambria"/>
                <w:lang w:val="en-GB"/>
              </w:rPr>
              <w:t>4 (4,3%)</w:t>
            </w:r>
          </w:p>
        </w:tc>
        <w:tc>
          <w:tcPr>
            <w:tcW w:w="1270" w:type="dxa"/>
            <w:vAlign w:val="center"/>
          </w:tcPr>
          <w:p w14:paraId="1F10E80A" w14:textId="77777777" w:rsidR="003D0710" w:rsidRPr="009E0F3B" w:rsidRDefault="003D0710" w:rsidP="003D0710">
            <w:pPr>
              <w:jc w:val="center"/>
              <w:rPr>
                <w:rFonts w:ascii="Cambria" w:hAnsi="Cambria"/>
                <w:sz w:val="20"/>
                <w:lang w:val="en-GB"/>
              </w:rPr>
            </w:pPr>
            <w:r w:rsidRPr="009E0F3B">
              <w:rPr>
                <w:rFonts w:ascii="Cambria" w:hAnsi="Cambria"/>
                <w:sz w:val="20"/>
                <w:lang w:val="en-GB"/>
              </w:rPr>
              <w:t>8 (5,8%)</w:t>
            </w:r>
          </w:p>
        </w:tc>
      </w:tr>
      <w:tr w:rsidR="003D0710" w:rsidRPr="009E0F3B" w14:paraId="7F72A056" w14:textId="77777777" w:rsidTr="00C20C6D">
        <w:trPr>
          <w:trHeight w:val="340"/>
        </w:trPr>
        <w:tc>
          <w:tcPr>
            <w:tcW w:w="2263" w:type="dxa"/>
            <w:vAlign w:val="center"/>
          </w:tcPr>
          <w:p w14:paraId="03062B17" w14:textId="0331410B" w:rsidR="003D0710" w:rsidRPr="009E0F3B" w:rsidRDefault="003D0710" w:rsidP="003D0710">
            <w:pPr>
              <w:rPr>
                <w:rFonts w:ascii="Cambria" w:hAnsi="Cambria"/>
                <w:lang w:val="en-GB"/>
              </w:rPr>
            </w:pPr>
            <w:r w:rsidRPr="009E0F3B">
              <w:rPr>
                <w:rFonts w:ascii="Cambria" w:hAnsi="Cambria"/>
                <w:lang w:val="en-GB"/>
              </w:rPr>
              <w:t>Cooperative, agreeable</w:t>
            </w:r>
          </w:p>
        </w:tc>
        <w:tc>
          <w:tcPr>
            <w:tcW w:w="1418" w:type="dxa"/>
            <w:vAlign w:val="center"/>
          </w:tcPr>
          <w:p w14:paraId="1EAFB34D" w14:textId="77777777" w:rsidR="003D0710" w:rsidRPr="009E0F3B" w:rsidRDefault="003D0710" w:rsidP="003D0710">
            <w:pPr>
              <w:jc w:val="center"/>
              <w:rPr>
                <w:rFonts w:ascii="Cambria" w:hAnsi="Cambria"/>
                <w:lang w:val="en-GB"/>
              </w:rPr>
            </w:pPr>
            <w:r w:rsidRPr="009E0F3B">
              <w:rPr>
                <w:rFonts w:ascii="Cambria" w:hAnsi="Cambria"/>
                <w:lang w:val="en-GB"/>
              </w:rPr>
              <w:t>451 (46,8%)</w:t>
            </w:r>
          </w:p>
        </w:tc>
        <w:tc>
          <w:tcPr>
            <w:tcW w:w="1559" w:type="dxa"/>
            <w:vAlign w:val="center"/>
          </w:tcPr>
          <w:p w14:paraId="557E4F50" w14:textId="77777777" w:rsidR="003D0710" w:rsidRPr="009E0F3B" w:rsidRDefault="003D0710" w:rsidP="003D0710">
            <w:pPr>
              <w:jc w:val="center"/>
              <w:rPr>
                <w:rFonts w:ascii="Cambria" w:hAnsi="Cambria"/>
                <w:lang w:val="en-GB"/>
              </w:rPr>
            </w:pPr>
            <w:r w:rsidRPr="009E0F3B">
              <w:rPr>
                <w:rFonts w:ascii="Cambria" w:hAnsi="Cambria"/>
                <w:lang w:val="en-GB"/>
              </w:rPr>
              <w:t>87 (48,6%)</w:t>
            </w:r>
          </w:p>
        </w:tc>
        <w:tc>
          <w:tcPr>
            <w:tcW w:w="1276" w:type="dxa"/>
            <w:vAlign w:val="center"/>
          </w:tcPr>
          <w:p w14:paraId="69B5A5B3" w14:textId="77777777" w:rsidR="003D0710" w:rsidRPr="009E0F3B" w:rsidRDefault="003D0710" w:rsidP="003D0710">
            <w:pPr>
              <w:jc w:val="center"/>
              <w:rPr>
                <w:rFonts w:ascii="Cambria" w:hAnsi="Cambria"/>
                <w:lang w:val="en-GB"/>
              </w:rPr>
            </w:pPr>
            <w:r w:rsidRPr="009E0F3B">
              <w:rPr>
                <w:rFonts w:ascii="Cambria" w:hAnsi="Cambria"/>
                <w:lang w:val="en-GB"/>
              </w:rPr>
              <w:t>60 (45,1%)</w:t>
            </w:r>
          </w:p>
        </w:tc>
        <w:tc>
          <w:tcPr>
            <w:tcW w:w="1276" w:type="dxa"/>
            <w:vAlign w:val="center"/>
          </w:tcPr>
          <w:p w14:paraId="78A2A49B" w14:textId="77777777" w:rsidR="003D0710" w:rsidRPr="009E0F3B" w:rsidRDefault="003D0710" w:rsidP="003D0710">
            <w:pPr>
              <w:jc w:val="center"/>
              <w:rPr>
                <w:rFonts w:ascii="Cambria" w:hAnsi="Cambria"/>
                <w:lang w:val="en-GB"/>
              </w:rPr>
            </w:pPr>
            <w:r w:rsidRPr="009E0F3B">
              <w:rPr>
                <w:rFonts w:ascii="Cambria" w:hAnsi="Cambria"/>
                <w:lang w:val="en-GB"/>
              </w:rPr>
              <w:t>32 (34%)</w:t>
            </w:r>
          </w:p>
        </w:tc>
        <w:tc>
          <w:tcPr>
            <w:tcW w:w="1270" w:type="dxa"/>
            <w:vAlign w:val="center"/>
          </w:tcPr>
          <w:p w14:paraId="1291D3AF" w14:textId="77777777" w:rsidR="003D0710" w:rsidRPr="009E0F3B" w:rsidRDefault="003D0710" w:rsidP="003D0710">
            <w:pPr>
              <w:jc w:val="center"/>
              <w:rPr>
                <w:rFonts w:ascii="Cambria" w:hAnsi="Cambria"/>
                <w:lang w:val="en-GB"/>
              </w:rPr>
            </w:pPr>
            <w:r w:rsidRPr="009E0F3B">
              <w:rPr>
                <w:rFonts w:ascii="Cambria" w:hAnsi="Cambria"/>
                <w:lang w:val="en-GB"/>
              </w:rPr>
              <w:t>67 (48,2%)</w:t>
            </w:r>
          </w:p>
        </w:tc>
      </w:tr>
      <w:tr w:rsidR="003D0710" w:rsidRPr="009E0F3B" w14:paraId="72FE7A0A" w14:textId="77777777" w:rsidTr="00C20C6D">
        <w:trPr>
          <w:trHeight w:val="340"/>
        </w:trPr>
        <w:tc>
          <w:tcPr>
            <w:tcW w:w="2263" w:type="dxa"/>
            <w:vAlign w:val="center"/>
          </w:tcPr>
          <w:p w14:paraId="6B7DF32F" w14:textId="6D233DEA" w:rsidR="003D0710" w:rsidRPr="009E0F3B" w:rsidRDefault="003D0710" w:rsidP="003D0710">
            <w:pPr>
              <w:rPr>
                <w:rFonts w:ascii="Cambria" w:hAnsi="Cambria"/>
                <w:lang w:val="en-GB"/>
              </w:rPr>
            </w:pPr>
            <w:r w:rsidRPr="009E0F3B">
              <w:rPr>
                <w:rFonts w:ascii="Cambria" w:hAnsi="Cambria"/>
                <w:lang w:val="en-GB"/>
              </w:rPr>
              <w:t>Conscientious</w:t>
            </w:r>
          </w:p>
        </w:tc>
        <w:tc>
          <w:tcPr>
            <w:tcW w:w="1418" w:type="dxa"/>
            <w:vAlign w:val="center"/>
          </w:tcPr>
          <w:p w14:paraId="59E73A4C" w14:textId="77777777" w:rsidR="003D0710" w:rsidRPr="009E0F3B" w:rsidRDefault="003D0710" w:rsidP="003D0710">
            <w:pPr>
              <w:jc w:val="center"/>
              <w:rPr>
                <w:rFonts w:ascii="Cambria" w:hAnsi="Cambria"/>
                <w:lang w:val="en-GB"/>
              </w:rPr>
            </w:pPr>
            <w:r w:rsidRPr="009E0F3B">
              <w:rPr>
                <w:rFonts w:ascii="Cambria" w:hAnsi="Cambria"/>
                <w:lang w:val="en-GB"/>
              </w:rPr>
              <w:t>289 (30%)</w:t>
            </w:r>
          </w:p>
        </w:tc>
        <w:tc>
          <w:tcPr>
            <w:tcW w:w="1559" w:type="dxa"/>
            <w:vAlign w:val="center"/>
          </w:tcPr>
          <w:p w14:paraId="16B468ED" w14:textId="77777777" w:rsidR="003D0710" w:rsidRPr="009E0F3B" w:rsidRDefault="003D0710" w:rsidP="003D0710">
            <w:pPr>
              <w:jc w:val="center"/>
              <w:rPr>
                <w:rFonts w:ascii="Cambria" w:hAnsi="Cambria"/>
                <w:lang w:val="en-GB"/>
              </w:rPr>
            </w:pPr>
            <w:r w:rsidRPr="009E0F3B">
              <w:rPr>
                <w:rFonts w:ascii="Cambria" w:hAnsi="Cambria"/>
                <w:lang w:val="en-GB"/>
              </w:rPr>
              <w:t>55 (30,7%)</w:t>
            </w:r>
          </w:p>
        </w:tc>
        <w:tc>
          <w:tcPr>
            <w:tcW w:w="1276" w:type="dxa"/>
            <w:vAlign w:val="center"/>
          </w:tcPr>
          <w:p w14:paraId="222A147B" w14:textId="77777777" w:rsidR="003D0710" w:rsidRPr="009E0F3B" w:rsidRDefault="003D0710" w:rsidP="003D0710">
            <w:pPr>
              <w:jc w:val="center"/>
              <w:rPr>
                <w:rFonts w:ascii="Cambria" w:hAnsi="Cambria"/>
                <w:lang w:val="en-GB"/>
              </w:rPr>
            </w:pPr>
            <w:r w:rsidRPr="009E0F3B">
              <w:rPr>
                <w:rFonts w:ascii="Cambria" w:hAnsi="Cambria"/>
                <w:lang w:val="en-GB"/>
              </w:rPr>
              <w:t>40 (30,1%)</w:t>
            </w:r>
          </w:p>
        </w:tc>
        <w:tc>
          <w:tcPr>
            <w:tcW w:w="1276" w:type="dxa"/>
            <w:vAlign w:val="center"/>
          </w:tcPr>
          <w:p w14:paraId="436077FE" w14:textId="77777777" w:rsidR="003D0710" w:rsidRPr="009E0F3B" w:rsidRDefault="003D0710" w:rsidP="003D0710">
            <w:pPr>
              <w:jc w:val="center"/>
              <w:rPr>
                <w:rFonts w:ascii="Cambria" w:hAnsi="Cambria"/>
                <w:lang w:val="en-GB"/>
              </w:rPr>
            </w:pPr>
            <w:r w:rsidRPr="009E0F3B">
              <w:rPr>
                <w:rFonts w:ascii="Cambria" w:hAnsi="Cambria"/>
                <w:lang w:val="en-GB"/>
              </w:rPr>
              <w:t>34 (36,2%)</w:t>
            </w:r>
          </w:p>
        </w:tc>
        <w:tc>
          <w:tcPr>
            <w:tcW w:w="1270" w:type="dxa"/>
            <w:vAlign w:val="center"/>
          </w:tcPr>
          <w:p w14:paraId="66E825C9" w14:textId="77777777" w:rsidR="003D0710" w:rsidRPr="009E0F3B" w:rsidRDefault="003D0710" w:rsidP="003D0710">
            <w:pPr>
              <w:jc w:val="center"/>
              <w:rPr>
                <w:rFonts w:ascii="Cambria" w:hAnsi="Cambria"/>
                <w:lang w:val="en-GB"/>
              </w:rPr>
            </w:pPr>
            <w:r w:rsidRPr="009E0F3B">
              <w:rPr>
                <w:rFonts w:ascii="Cambria" w:hAnsi="Cambria"/>
                <w:lang w:val="en-GB"/>
              </w:rPr>
              <w:t>40 (28,8%)</w:t>
            </w:r>
          </w:p>
        </w:tc>
      </w:tr>
      <w:tr w:rsidR="003D0710" w:rsidRPr="009E0F3B" w14:paraId="5B802DA8" w14:textId="77777777" w:rsidTr="00C20C6D">
        <w:trPr>
          <w:trHeight w:val="340"/>
        </w:trPr>
        <w:tc>
          <w:tcPr>
            <w:tcW w:w="2263" w:type="dxa"/>
            <w:vAlign w:val="center"/>
          </w:tcPr>
          <w:p w14:paraId="279CD2A9" w14:textId="54944912" w:rsidR="003D0710" w:rsidRPr="009E0F3B" w:rsidRDefault="003D0710" w:rsidP="003D0710">
            <w:pPr>
              <w:rPr>
                <w:rFonts w:ascii="Cambria" w:hAnsi="Cambria"/>
                <w:lang w:val="en-GB"/>
              </w:rPr>
            </w:pPr>
            <w:r w:rsidRPr="009E0F3B">
              <w:rPr>
                <w:rFonts w:ascii="Cambria" w:hAnsi="Cambria"/>
                <w:lang w:val="en-GB"/>
              </w:rPr>
              <w:t>Emotional</w:t>
            </w:r>
          </w:p>
        </w:tc>
        <w:tc>
          <w:tcPr>
            <w:tcW w:w="1418" w:type="dxa"/>
            <w:vAlign w:val="center"/>
          </w:tcPr>
          <w:p w14:paraId="464A6F24" w14:textId="77777777" w:rsidR="003D0710" w:rsidRPr="009E0F3B" w:rsidRDefault="003D0710" w:rsidP="003D0710">
            <w:pPr>
              <w:jc w:val="center"/>
              <w:rPr>
                <w:rFonts w:ascii="Cambria" w:hAnsi="Cambria"/>
                <w:lang w:val="en-GB"/>
              </w:rPr>
            </w:pPr>
            <w:r w:rsidRPr="009E0F3B">
              <w:rPr>
                <w:rFonts w:ascii="Cambria" w:hAnsi="Cambria"/>
                <w:lang w:val="en-GB"/>
              </w:rPr>
              <w:t>108 (11,2%)</w:t>
            </w:r>
          </w:p>
        </w:tc>
        <w:tc>
          <w:tcPr>
            <w:tcW w:w="1559" w:type="dxa"/>
            <w:vAlign w:val="center"/>
          </w:tcPr>
          <w:p w14:paraId="30969870" w14:textId="77777777" w:rsidR="003D0710" w:rsidRPr="009E0F3B" w:rsidRDefault="003D0710" w:rsidP="003D0710">
            <w:pPr>
              <w:jc w:val="center"/>
              <w:rPr>
                <w:rFonts w:ascii="Cambria" w:hAnsi="Cambria"/>
                <w:lang w:val="en-GB"/>
              </w:rPr>
            </w:pPr>
            <w:r w:rsidRPr="009E0F3B">
              <w:rPr>
                <w:rFonts w:ascii="Cambria" w:hAnsi="Cambria"/>
                <w:lang w:val="en-GB"/>
              </w:rPr>
              <w:t>14 (7,8%)</w:t>
            </w:r>
          </w:p>
        </w:tc>
        <w:tc>
          <w:tcPr>
            <w:tcW w:w="1276" w:type="dxa"/>
            <w:vAlign w:val="center"/>
          </w:tcPr>
          <w:p w14:paraId="1C62CACB" w14:textId="77777777" w:rsidR="003D0710" w:rsidRPr="009E0F3B" w:rsidRDefault="003D0710" w:rsidP="003D0710">
            <w:pPr>
              <w:jc w:val="center"/>
              <w:rPr>
                <w:rFonts w:ascii="Cambria" w:hAnsi="Cambria"/>
                <w:lang w:val="en-GB"/>
              </w:rPr>
            </w:pPr>
            <w:r w:rsidRPr="009E0F3B">
              <w:rPr>
                <w:rFonts w:ascii="Cambria" w:hAnsi="Cambria"/>
                <w:lang w:val="en-GB"/>
              </w:rPr>
              <w:t>11 (8,3%)</w:t>
            </w:r>
          </w:p>
        </w:tc>
        <w:tc>
          <w:tcPr>
            <w:tcW w:w="1276" w:type="dxa"/>
            <w:vAlign w:val="center"/>
          </w:tcPr>
          <w:p w14:paraId="150A99E0" w14:textId="77777777" w:rsidR="003D0710" w:rsidRPr="009E0F3B" w:rsidRDefault="003D0710" w:rsidP="003D0710">
            <w:pPr>
              <w:jc w:val="center"/>
              <w:rPr>
                <w:rFonts w:ascii="Cambria" w:hAnsi="Cambria"/>
                <w:lang w:val="en-GB"/>
              </w:rPr>
            </w:pPr>
            <w:r w:rsidRPr="009E0F3B">
              <w:rPr>
                <w:rFonts w:ascii="Cambria" w:hAnsi="Cambria"/>
                <w:lang w:val="en-GB"/>
              </w:rPr>
              <w:t>12 (12,8%)</w:t>
            </w:r>
          </w:p>
        </w:tc>
        <w:tc>
          <w:tcPr>
            <w:tcW w:w="1270" w:type="dxa"/>
            <w:vAlign w:val="center"/>
          </w:tcPr>
          <w:p w14:paraId="52BDEED4" w14:textId="77777777" w:rsidR="003D0710" w:rsidRPr="009E0F3B" w:rsidRDefault="003D0710" w:rsidP="003D0710">
            <w:pPr>
              <w:jc w:val="center"/>
              <w:rPr>
                <w:rFonts w:ascii="Cambria" w:hAnsi="Cambria"/>
                <w:lang w:val="en-GB"/>
              </w:rPr>
            </w:pPr>
            <w:r w:rsidRPr="009E0F3B">
              <w:rPr>
                <w:rFonts w:ascii="Cambria" w:hAnsi="Cambria"/>
                <w:lang w:val="en-GB"/>
              </w:rPr>
              <w:t>17 (12,2%)</w:t>
            </w:r>
          </w:p>
        </w:tc>
      </w:tr>
      <w:tr w:rsidR="003D0710" w:rsidRPr="009E0F3B" w14:paraId="6FA8EDC9" w14:textId="77777777" w:rsidTr="00C20C6D">
        <w:trPr>
          <w:trHeight w:val="340"/>
        </w:trPr>
        <w:tc>
          <w:tcPr>
            <w:tcW w:w="2263" w:type="dxa"/>
            <w:vAlign w:val="center"/>
          </w:tcPr>
          <w:p w14:paraId="5F645C6C" w14:textId="1B11A2ED" w:rsidR="003D0710" w:rsidRPr="009E0F3B" w:rsidRDefault="003D0710" w:rsidP="003D0710">
            <w:pPr>
              <w:rPr>
                <w:rFonts w:ascii="Cambria" w:hAnsi="Cambria"/>
                <w:lang w:val="en-GB"/>
              </w:rPr>
            </w:pPr>
            <w:r w:rsidRPr="009E0F3B">
              <w:rPr>
                <w:rFonts w:ascii="Cambria" w:hAnsi="Cambria"/>
                <w:lang w:val="en-GB"/>
              </w:rPr>
              <w:t>Open to new experiences</w:t>
            </w:r>
          </w:p>
        </w:tc>
        <w:tc>
          <w:tcPr>
            <w:tcW w:w="1418" w:type="dxa"/>
            <w:vAlign w:val="center"/>
          </w:tcPr>
          <w:p w14:paraId="283A85A2" w14:textId="77777777" w:rsidR="003D0710" w:rsidRPr="009E0F3B" w:rsidRDefault="003D0710" w:rsidP="003D0710">
            <w:pPr>
              <w:jc w:val="center"/>
              <w:rPr>
                <w:rFonts w:ascii="Cambria" w:hAnsi="Cambria"/>
                <w:lang w:val="en-GB"/>
              </w:rPr>
            </w:pPr>
            <w:r w:rsidRPr="009E0F3B">
              <w:rPr>
                <w:rFonts w:ascii="Cambria" w:hAnsi="Cambria"/>
                <w:lang w:val="en-GB"/>
              </w:rPr>
              <w:t>81 (8,4%)</w:t>
            </w:r>
          </w:p>
        </w:tc>
        <w:tc>
          <w:tcPr>
            <w:tcW w:w="1559" w:type="dxa"/>
            <w:vAlign w:val="center"/>
          </w:tcPr>
          <w:p w14:paraId="68256EFE" w14:textId="77777777" w:rsidR="003D0710" w:rsidRPr="009E0F3B" w:rsidRDefault="003D0710" w:rsidP="003D0710">
            <w:pPr>
              <w:jc w:val="center"/>
              <w:rPr>
                <w:rFonts w:ascii="Cambria" w:hAnsi="Cambria"/>
                <w:lang w:val="en-GB"/>
              </w:rPr>
            </w:pPr>
            <w:r w:rsidRPr="009E0F3B">
              <w:rPr>
                <w:rFonts w:ascii="Cambria" w:hAnsi="Cambria"/>
                <w:lang w:val="en-GB"/>
              </w:rPr>
              <w:t>13 (7,3%)</w:t>
            </w:r>
          </w:p>
        </w:tc>
        <w:tc>
          <w:tcPr>
            <w:tcW w:w="1276" w:type="dxa"/>
            <w:vAlign w:val="center"/>
          </w:tcPr>
          <w:p w14:paraId="7F1FE9A0" w14:textId="77777777" w:rsidR="003D0710" w:rsidRPr="009E0F3B" w:rsidRDefault="003D0710" w:rsidP="003D0710">
            <w:pPr>
              <w:jc w:val="center"/>
              <w:rPr>
                <w:rFonts w:ascii="Cambria" w:hAnsi="Cambria"/>
                <w:lang w:val="en-GB"/>
              </w:rPr>
            </w:pPr>
            <w:r w:rsidRPr="009E0F3B">
              <w:rPr>
                <w:rFonts w:ascii="Cambria" w:hAnsi="Cambria"/>
                <w:lang w:val="en-GB"/>
              </w:rPr>
              <w:t>16 (12%)</w:t>
            </w:r>
          </w:p>
        </w:tc>
        <w:tc>
          <w:tcPr>
            <w:tcW w:w="1276" w:type="dxa"/>
            <w:vAlign w:val="center"/>
          </w:tcPr>
          <w:p w14:paraId="065299C9" w14:textId="77777777" w:rsidR="003D0710" w:rsidRPr="009E0F3B" w:rsidRDefault="003D0710" w:rsidP="003D0710">
            <w:pPr>
              <w:jc w:val="center"/>
              <w:rPr>
                <w:rFonts w:ascii="Cambria" w:hAnsi="Cambria"/>
                <w:lang w:val="en-GB"/>
              </w:rPr>
            </w:pPr>
            <w:r w:rsidRPr="009E0F3B">
              <w:rPr>
                <w:rFonts w:ascii="Cambria" w:hAnsi="Cambria"/>
                <w:lang w:val="en-GB"/>
              </w:rPr>
              <w:t>12 (12,8%)</w:t>
            </w:r>
          </w:p>
        </w:tc>
        <w:tc>
          <w:tcPr>
            <w:tcW w:w="1270" w:type="dxa"/>
            <w:vAlign w:val="center"/>
          </w:tcPr>
          <w:p w14:paraId="29E274D6" w14:textId="77777777" w:rsidR="003D0710" w:rsidRPr="009E0F3B" w:rsidRDefault="003D0710" w:rsidP="003D0710">
            <w:pPr>
              <w:jc w:val="center"/>
              <w:rPr>
                <w:rFonts w:ascii="Cambria" w:hAnsi="Cambria"/>
                <w:lang w:val="en-GB"/>
              </w:rPr>
            </w:pPr>
            <w:r w:rsidRPr="009E0F3B">
              <w:rPr>
                <w:rFonts w:ascii="Cambria" w:hAnsi="Cambria"/>
                <w:lang w:val="en-GB"/>
              </w:rPr>
              <w:t>7 (5%)</w:t>
            </w:r>
          </w:p>
        </w:tc>
      </w:tr>
      <w:tr w:rsidR="003D0710" w:rsidRPr="009E0F3B" w14:paraId="61E60E37" w14:textId="77777777" w:rsidTr="00C20C6D">
        <w:trPr>
          <w:trHeight w:val="340"/>
        </w:trPr>
        <w:tc>
          <w:tcPr>
            <w:tcW w:w="2263" w:type="dxa"/>
            <w:vAlign w:val="center"/>
          </w:tcPr>
          <w:p w14:paraId="3EB73321" w14:textId="48C9F47C" w:rsidR="003D0710" w:rsidRPr="009E0F3B" w:rsidRDefault="003D0710" w:rsidP="003D0710">
            <w:pPr>
              <w:rPr>
                <w:rFonts w:ascii="Cambria" w:hAnsi="Cambria"/>
                <w:lang w:val="en-GB"/>
              </w:rPr>
            </w:pPr>
            <w:r w:rsidRPr="009E0F3B">
              <w:rPr>
                <w:rFonts w:ascii="Cambria" w:hAnsi="Cambria"/>
                <w:lang w:val="en-GB"/>
              </w:rPr>
              <w:t>No response</w:t>
            </w:r>
          </w:p>
        </w:tc>
        <w:tc>
          <w:tcPr>
            <w:tcW w:w="1418" w:type="dxa"/>
            <w:vAlign w:val="center"/>
          </w:tcPr>
          <w:p w14:paraId="15313D40" w14:textId="77777777" w:rsidR="003D0710" w:rsidRPr="009E0F3B" w:rsidRDefault="003D0710" w:rsidP="003D0710">
            <w:pPr>
              <w:jc w:val="center"/>
              <w:rPr>
                <w:rFonts w:ascii="Cambria" w:hAnsi="Cambria"/>
                <w:sz w:val="20"/>
                <w:lang w:val="en-GB"/>
              </w:rPr>
            </w:pPr>
            <w:r w:rsidRPr="009E0F3B">
              <w:rPr>
                <w:rFonts w:ascii="Cambria" w:hAnsi="Cambria"/>
                <w:sz w:val="20"/>
                <w:lang w:val="en-GB"/>
              </w:rPr>
              <w:t>929</w:t>
            </w:r>
          </w:p>
        </w:tc>
        <w:tc>
          <w:tcPr>
            <w:tcW w:w="1559" w:type="dxa"/>
            <w:vAlign w:val="center"/>
          </w:tcPr>
          <w:p w14:paraId="1D0785F0" w14:textId="77777777" w:rsidR="003D0710" w:rsidRPr="009E0F3B" w:rsidRDefault="003D0710" w:rsidP="003D0710">
            <w:pPr>
              <w:jc w:val="center"/>
              <w:rPr>
                <w:rFonts w:ascii="Cambria" w:hAnsi="Cambria"/>
                <w:sz w:val="20"/>
                <w:lang w:val="en-GB"/>
              </w:rPr>
            </w:pPr>
            <w:r w:rsidRPr="009E0F3B">
              <w:rPr>
                <w:rFonts w:ascii="Cambria" w:hAnsi="Cambria"/>
                <w:sz w:val="20"/>
                <w:lang w:val="en-GB"/>
              </w:rPr>
              <w:t>214</w:t>
            </w:r>
          </w:p>
        </w:tc>
        <w:tc>
          <w:tcPr>
            <w:tcW w:w="1276" w:type="dxa"/>
            <w:vAlign w:val="center"/>
          </w:tcPr>
          <w:p w14:paraId="44A9F8D1" w14:textId="77777777" w:rsidR="003D0710" w:rsidRPr="009E0F3B" w:rsidRDefault="003D0710" w:rsidP="003D0710">
            <w:pPr>
              <w:jc w:val="center"/>
              <w:rPr>
                <w:rFonts w:ascii="Cambria" w:hAnsi="Cambria"/>
                <w:sz w:val="20"/>
                <w:lang w:val="en-GB"/>
              </w:rPr>
            </w:pPr>
            <w:r w:rsidRPr="009E0F3B">
              <w:rPr>
                <w:rFonts w:ascii="Cambria" w:hAnsi="Cambria"/>
                <w:sz w:val="20"/>
                <w:lang w:val="en-GB"/>
              </w:rPr>
              <w:t>176</w:t>
            </w:r>
          </w:p>
        </w:tc>
        <w:tc>
          <w:tcPr>
            <w:tcW w:w="1276" w:type="dxa"/>
            <w:vAlign w:val="center"/>
          </w:tcPr>
          <w:p w14:paraId="47BB3F58" w14:textId="77777777" w:rsidR="003D0710" w:rsidRPr="009E0F3B" w:rsidRDefault="003D0710" w:rsidP="003D0710">
            <w:pPr>
              <w:jc w:val="center"/>
              <w:rPr>
                <w:rFonts w:ascii="Cambria" w:hAnsi="Cambria"/>
                <w:sz w:val="20"/>
                <w:lang w:val="en-GB"/>
              </w:rPr>
            </w:pPr>
            <w:r w:rsidRPr="009E0F3B">
              <w:rPr>
                <w:rFonts w:ascii="Cambria" w:hAnsi="Cambria"/>
                <w:sz w:val="20"/>
                <w:lang w:val="en-GB"/>
              </w:rPr>
              <w:t>146</w:t>
            </w:r>
          </w:p>
        </w:tc>
        <w:tc>
          <w:tcPr>
            <w:tcW w:w="1270" w:type="dxa"/>
            <w:vAlign w:val="center"/>
          </w:tcPr>
          <w:p w14:paraId="7579EF81" w14:textId="77777777" w:rsidR="003D0710" w:rsidRPr="009E0F3B" w:rsidRDefault="003D0710" w:rsidP="00735970">
            <w:pPr>
              <w:keepNext/>
              <w:jc w:val="center"/>
              <w:rPr>
                <w:rFonts w:ascii="Cambria" w:hAnsi="Cambria"/>
                <w:sz w:val="20"/>
                <w:lang w:val="en-GB"/>
              </w:rPr>
            </w:pPr>
            <w:r w:rsidRPr="009E0F3B">
              <w:rPr>
                <w:rFonts w:ascii="Cambria" w:hAnsi="Cambria"/>
                <w:sz w:val="20"/>
                <w:lang w:val="en-GB"/>
              </w:rPr>
              <w:t>137</w:t>
            </w:r>
          </w:p>
        </w:tc>
      </w:tr>
    </w:tbl>
    <w:p w14:paraId="392F2D4F" w14:textId="6CB5FAE2" w:rsidR="003D0710" w:rsidRPr="009E0F3B" w:rsidRDefault="00735970" w:rsidP="00735970">
      <w:pPr>
        <w:pStyle w:val="Kpalrs"/>
        <w:jc w:val="center"/>
        <w:rPr>
          <w:rFonts w:ascii="Cambria" w:hAnsi="Cambria"/>
          <w:sz w:val="24"/>
          <w:szCs w:val="24"/>
          <w:lang w:val="en-GB"/>
        </w:rPr>
      </w:pPr>
      <w:r w:rsidRPr="009E0F3B">
        <w:rPr>
          <w:lang w:val="en-GB"/>
        </w:rPr>
        <w:t xml:space="preserve">Table </w:t>
      </w:r>
      <w:r w:rsidRPr="009E0F3B">
        <w:rPr>
          <w:lang w:val="en-GB"/>
        </w:rPr>
        <w:fldChar w:fldCharType="begin"/>
      </w:r>
      <w:r w:rsidRPr="009E0F3B">
        <w:rPr>
          <w:lang w:val="en-GB"/>
        </w:rPr>
        <w:instrText xml:space="preserve"> SEQ Table \* ARABIC </w:instrText>
      </w:r>
      <w:r w:rsidRPr="009E0F3B">
        <w:rPr>
          <w:lang w:val="en-GB"/>
        </w:rPr>
        <w:fldChar w:fldCharType="separate"/>
      </w:r>
      <w:r w:rsidRPr="009E0F3B">
        <w:rPr>
          <w:noProof/>
          <w:lang w:val="en-GB"/>
        </w:rPr>
        <w:t>7</w:t>
      </w:r>
      <w:r w:rsidRPr="009E0F3B">
        <w:rPr>
          <w:lang w:val="en-GB"/>
        </w:rPr>
        <w:fldChar w:fldCharType="end"/>
      </w:r>
      <w:r w:rsidRPr="009E0F3B">
        <w:rPr>
          <w:lang w:val="en-GB"/>
        </w:rPr>
        <w:t xml:space="preserve"> Prevalence of the Big Five groups for educational institutions</w:t>
      </w:r>
    </w:p>
    <w:p w14:paraId="2689FFEC" w14:textId="48EAB8B2" w:rsidR="00735970" w:rsidRPr="009E0F3B" w:rsidRDefault="00735970" w:rsidP="00F20BAC">
      <w:pPr>
        <w:jc w:val="both"/>
        <w:rPr>
          <w:rFonts w:ascii="Cambria" w:hAnsi="Cambria"/>
          <w:sz w:val="24"/>
          <w:szCs w:val="24"/>
          <w:lang w:val="en-GB"/>
        </w:rPr>
      </w:pPr>
      <w:r w:rsidRPr="009E0F3B">
        <w:rPr>
          <w:rFonts w:ascii="Cambria" w:hAnsi="Cambria"/>
          <w:sz w:val="24"/>
          <w:szCs w:val="24"/>
          <w:lang w:val="en-GB"/>
        </w:rPr>
        <w:t>The distribution for the educational institution background variables is also illustrated by a radar diagram (Figure 2).</w:t>
      </w:r>
    </w:p>
    <w:p w14:paraId="341530D4" w14:textId="77777777" w:rsidR="00F919C5" w:rsidRPr="009E0F3B" w:rsidRDefault="00F919C5" w:rsidP="00F919C5">
      <w:pPr>
        <w:keepNext/>
        <w:jc w:val="both"/>
        <w:rPr>
          <w:lang w:val="en-GB"/>
        </w:rPr>
      </w:pPr>
      <w:r w:rsidRPr="009E0F3B">
        <w:rPr>
          <w:noProof/>
          <w:lang w:val="en-GB" w:eastAsia="sk-SK"/>
        </w:rPr>
        <w:drawing>
          <wp:inline distT="0" distB="0" distL="0" distR="0" wp14:anchorId="7A6BBEBC" wp14:editId="285E6E8B">
            <wp:extent cx="5760720" cy="4423954"/>
            <wp:effectExtent l="0" t="0" r="11430" b="15240"/>
            <wp:docPr id="2" name="Diagram 2">
              <a:extLst xmlns:a="http://schemas.openxmlformats.org/drawingml/2006/main">
                <a:ext uri="{FF2B5EF4-FFF2-40B4-BE49-F238E27FC236}">
                  <a16:creationId xmlns:a16="http://schemas.microsoft.com/office/drawing/2014/main" id="{591426CD-F05B-1E42-8418-11BA72719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BC7368" w14:textId="0306C013" w:rsidR="00F919C5" w:rsidRPr="009E0F3B" w:rsidRDefault="00F919C5" w:rsidP="00F919C5">
      <w:pPr>
        <w:pStyle w:val="Kpalrs"/>
        <w:jc w:val="center"/>
        <w:rPr>
          <w:rFonts w:ascii="Cambria" w:hAnsi="Cambria"/>
          <w:sz w:val="24"/>
          <w:szCs w:val="24"/>
          <w:lang w:val="en-GB"/>
        </w:rPr>
      </w:pPr>
      <w:r w:rsidRPr="009E0F3B">
        <w:rPr>
          <w:lang w:val="en-GB"/>
        </w:rPr>
        <w:t xml:space="preserve">Figure </w:t>
      </w:r>
      <w:r w:rsidRPr="009E0F3B">
        <w:rPr>
          <w:lang w:val="en-GB"/>
        </w:rPr>
        <w:fldChar w:fldCharType="begin"/>
      </w:r>
      <w:r w:rsidRPr="009E0F3B">
        <w:rPr>
          <w:lang w:val="en-GB"/>
        </w:rPr>
        <w:instrText xml:space="preserve"> SEQ Figure \* ARABIC </w:instrText>
      </w:r>
      <w:r w:rsidRPr="009E0F3B">
        <w:rPr>
          <w:lang w:val="en-GB"/>
        </w:rPr>
        <w:fldChar w:fldCharType="separate"/>
      </w:r>
      <w:r w:rsidRPr="009E0F3B">
        <w:rPr>
          <w:noProof/>
          <w:lang w:val="en-GB"/>
        </w:rPr>
        <w:t>2</w:t>
      </w:r>
      <w:r w:rsidRPr="009E0F3B">
        <w:rPr>
          <w:lang w:val="en-GB"/>
        </w:rPr>
        <w:fldChar w:fldCharType="end"/>
      </w:r>
      <w:r w:rsidRPr="009E0F3B">
        <w:rPr>
          <w:lang w:val="en-GB"/>
        </w:rPr>
        <w:t xml:space="preserve"> Radar chart for educational institutions and Big Five groups</w:t>
      </w:r>
    </w:p>
    <w:p w14:paraId="77B42B16" w14:textId="15D587BD" w:rsidR="00F919C5" w:rsidRPr="009E0F3B" w:rsidRDefault="00F919C5" w:rsidP="00F33ECF">
      <w:pPr>
        <w:ind w:firstLine="708"/>
        <w:jc w:val="both"/>
        <w:rPr>
          <w:rFonts w:ascii="Cambria" w:hAnsi="Cambria"/>
          <w:sz w:val="24"/>
          <w:szCs w:val="24"/>
          <w:lang w:val="en-GB"/>
        </w:rPr>
      </w:pPr>
      <w:r w:rsidRPr="009E0F3B">
        <w:rPr>
          <w:rFonts w:ascii="Cambria" w:hAnsi="Cambria"/>
          <w:sz w:val="24"/>
          <w:szCs w:val="24"/>
          <w:lang w:val="en-GB"/>
        </w:rPr>
        <w:t>Figure 2 clearly</w:t>
      </w:r>
      <w:r w:rsidR="009D3608" w:rsidRPr="009E0F3B">
        <w:rPr>
          <w:rFonts w:ascii="Cambria" w:hAnsi="Cambria"/>
          <w:sz w:val="24"/>
          <w:szCs w:val="24"/>
          <w:lang w:val="en-GB"/>
        </w:rPr>
        <w:t xml:space="preserve"> shows</w:t>
      </w:r>
      <w:r w:rsidR="009D3608" w:rsidRPr="009E0F3B">
        <w:rPr>
          <w:lang w:val="en-GB"/>
        </w:rPr>
        <w:t xml:space="preserve"> t</w:t>
      </w:r>
      <w:r w:rsidR="009D3608" w:rsidRPr="009E0F3B">
        <w:rPr>
          <w:rFonts w:ascii="Cambria" w:hAnsi="Cambria"/>
          <w:sz w:val="24"/>
          <w:szCs w:val="24"/>
          <w:lang w:val="en-GB"/>
        </w:rPr>
        <w:t xml:space="preserve">he most significant difference in the dimension of agreeableness, which stands at 14.6%. Hungarian participants believe that the traits </w:t>
      </w:r>
      <w:r w:rsidR="009D3608" w:rsidRPr="009E0F3B">
        <w:rPr>
          <w:rFonts w:ascii="Cambria" w:hAnsi="Cambria"/>
          <w:sz w:val="24"/>
          <w:szCs w:val="24"/>
          <w:lang w:val="en-GB"/>
        </w:rPr>
        <w:lastRenderedPageBreak/>
        <w:t xml:space="preserve">associated with teacher behaviour, categorized under cooperative and friendly, may have a greater impact on diminishing teacher authority </w:t>
      </w:r>
      <w:r w:rsidR="00525B40" w:rsidRPr="009E0F3B">
        <w:rPr>
          <w:rFonts w:ascii="Cambria" w:hAnsi="Cambria"/>
          <w:sz w:val="24"/>
          <w:szCs w:val="24"/>
          <w:lang w:val="en-GB"/>
        </w:rPr>
        <w:t xml:space="preserve">as </w:t>
      </w:r>
      <w:r w:rsidR="009D3608" w:rsidRPr="009E0F3B">
        <w:rPr>
          <w:rFonts w:ascii="Cambria" w:hAnsi="Cambria"/>
          <w:sz w:val="24"/>
          <w:szCs w:val="24"/>
          <w:lang w:val="en-GB"/>
        </w:rPr>
        <w:t xml:space="preserve">compared </w:t>
      </w:r>
      <w:r w:rsidR="00525B40" w:rsidRPr="009E0F3B">
        <w:rPr>
          <w:rFonts w:ascii="Cambria" w:hAnsi="Cambria"/>
          <w:sz w:val="24"/>
          <w:szCs w:val="24"/>
          <w:lang w:val="en-GB"/>
        </w:rPr>
        <w:t>with</w:t>
      </w:r>
      <w:r w:rsidR="009D3608" w:rsidRPr="009E0F3B">
        <w:rPr>
          <w:rFonts w:ascii="Cambria" w:hAnsi="Cambria"/>
          <w:sz w:val="24"/>
          <w:szCs w:val="24"/>
          <w:lang w:val="en-GB"/>
        </w:rPr>
        <w:t xml:space="preserve"> their Ukrainian university counterparts. Equally, the least variation was observed in the conscientiousness dimension, with a difference of only 1.9%.</w:t>
      </w:r>
      <w:r w:rsidRPr="009E0F3B">
        <w:rPr>
          <w:rFonts w:ascii="Cambria" w:hAnsi="Cambria"/>
          <w:sz w:val="24"/>
          <w:szCs w:val="24"/>
          <w:lang w:val="en-GB"/>
        </w:rPr>
        <w:t xml:space="preserve"> </w:t>
      </w:r>
    </w:p>
    <w:p w14:paraId="45A7B546" w14:textId="01A739B6" w:rsidR="00A80ECC" w:rsidRPr="009E0F3B" w:rsidRDefault="00A80ECC" w:rsidP="00E43724">
      <w:pPr>
        <w:ind w:firstLine="708"/>
        <w:jc w:val="both"/>
        <w:rPr>
          <w:rFonts w:ascii="Cambria" w:hAnsi="Cambria"/>
          <w:sz w:val="24"/>
          <w:szCs w:val="24"/>
          <w:lang w:val="en-GB"/>
        </w:rPr>
      </w:pPr>
      <w:r w:rsidRPr="009E0F3B">
        <w:rPr>
          <w:rFonts w:ascii="Cambria" w:hAnsi="Cambria"/>
          <w:sz w:val="24"/>
          <w:szCs w:val="24"/>
          <w:lang w:val="en-GB"/>
        </w:rPr>
        <w:t xml:space="preserve">To conclude the data </w:t>
      </w:r>
      <w:r w:rsidR="00E43724" w:rsidRPr="009E0F3B">
        <w:rPr>
          <w:rFonts w:ascii="Cambria" w:hAnsi="Cambria"/>
          <w:sz w:val="24"/>
          <w:szCs w:val="24"/>
          <w:lang w:val="en-GB"/>
        </w:rPr>
        <w:t>portrayed</w:t>
      </w:r>
      <w:r w:rsidRPr="009E0F3B">
        <w:rPr>
          <w:rFonts w:ascii="Cambria" w:hAnsi="Cambria"/>
          <w:sz w:val="24"/>
          <w:szCs w:val="24"/>
          <w:lang w:val="en-GB"/>
        </w:rPr>
        <w:t xml:space="preserve"> above and provide answers to our research questions, out of the total of 1,037 students that completed the questionnaire, a total of 2,182 adjectives and/or attributes were collected. Based on the feedback from the participants, the five most common characteristics of an authoritative teacher are: strict (185), respectful (164), firm (134), kind (134), and helpful (134). </w:t>
      </w:r>
      <w:r w:rsidR="00E43724" w:rsidRPr="009E0F3B">
        <w:rPr>
          <w:rFonts w:ascii="Cambria" w:hAnsi="Cambria"/>
          <w:sz w:val="24"/>
          <w:szCs w:val="24"/>
          <w:lang w:val="en-GB"/>
        </w:rPr>
        <w:t xml:space="preserve"> As for the second inquiry regarding the loss of authority</w:t>
      </w:r>
      <w:r w:rsidR="00806C09" w:rsidRPr="009E0F3B">
        <w:rPr>
          <w:rFonts w:ascii="Cambria" w:hAnsi="Cambria"/>
          <w:sz w:val="24"/>
          <w:szCs w:val="24"/>
          <w:lang w:val="en-GB"/>
        </w:rPr>
        <w:t>,</w:t>
      </w:r>
      <w:r w:rsidR="00E43724" w:rsidRPr="009E0F3B">
        <w:rPr>
          <w:rFonts w:ascii="Cambria" w:hAnsi="Cambria"/>
          <w:sz w:val="24"/>
          <w:szCs w:val="24"/>
          <w:lang w:val="en-GB"/>
        </w:rPr>
        <w:t xml:space="preserve"> a </w:t>
      </w:r>
      <w:r w:rsidRPr="009E0F3B">
        <w:rPr>
          <w:rFonts w:ascii="Cambria" w:hAnsi="Cambria"/>
          <w:sz w:val="24"/>
          <w:szCs w:val="24"/>
          <w:lang w:val="en-GB"/>
        </w:rPr>
        <w:t>total number of adjectives/attributes submitted was 1,509, with 71 distinct adjectives identified after accounting for duplicates. According to the responses, the primary fa</w:t>
      </w:r>
      <w:r w:rsidR="00E43724" w:rsidRPr="009E0F3B">
        <w:rPr>
          <w:rFonts w:ascii="Cambria" w:hAnsi="Cambria"/>
          <w:sz w:val="24"/>
          <w:szCs w:val="24"/>
          <w:lang w:val="en-GB"/>
        </w:rPr>
        <w:t>ctors contributing to a teacher’</w:t>
      </w:r>
      <w:r w:rsidRPr="009E0F3B">
        <w:rPr>
          <w:rFonts w:ascii="Cambria" w:hAnsi="Cambria"/>
          <w:sz w:val="24"/>
          <w:szCs w:val="24"/>
          <w:lang w:val="en-GB"/>
        </w:rPr>
        <w:t>s loss of authority include disrespect (130), unfairness (112), and condescension towards students (85).</w:t>
      </w:r>
      <w:r w:rsidR="00806C09" w:rsidRPr="009E0F3B">
        <w:rPr>
          <w:rFonts w:ascii="Cambria" w:hAnsi="Cambria"/>
          <w:sz w:val="24"/>
          <w:szCs w:val="24"/>
          <w:lang w:val="en-GB"/>
        </w:rPr>
        <w:t xml:space="preserve"> For the last question regarding alignment of participants’ answers with the Big Five personality model on teacher lacking authority, the 71 listed attributes were categorised into the Big Five dimensions (table 5). The majority of these fell under the agreeableness dimension, totalling 697. In terms of sex, the cooperative, friendly dimension of agreeableness also had the highest number of personality traits that the Carpathian Basin university students considered to be the reason for the loss of teacher authority (45.3% for males and 46.6% for females).   </w:t>
      </w:r>
    </w:p>
    <w:p w14:paraId="075DACA6" w14:textId="77777777" w:rsidR="00A00AB9" w:rsidRPr="009E0F3B" w:rsidRDefault="00A00AB9" w:rsidP="00E43724">
      <w:pPr>
        <w:ind w:firstLine="708"/>
        <w:jc w:val="both"/>
        <w:rPr>
          <w:rFonts w:ascii="Cambria" w:hAnsi="Cambria"/>
          <w:sz w:val="24"/>
          <w:szCs w:val="24"/>
          <w:lang w:val="en-GB"/>
        </w:rPr>
      </w:pPr>
    </w:p>
    <w:p w14:paraId="1120FF9F" w14:textId="193782F2" w:rsidR="00A00AB9" w:rsidRPr="009E0F3B" w:rsidRDefault="00A00AB9" w:rsidP="00A00AB9">
      <w:pPr>
        <w:jc w:val="both"/>
        <w:rPr>
          <w:rFonts w:ascii="Cambria" w:hAnsi="Cambria"/>
          <w:b/>
          <w:sz w:val="24"/>
          <w:szCs w:val="24"/>
          <w:lang w:val="en-GB"/>
        </w:rPr>
      </w:pPr>
      <w:r w:rsidRPr="009E0F3B">
        <w:rPr>
          <w:rFonts w:ascii="Cambria" w:hAnsi="Cambria"/>
          <w:b/>
          <w:sz w:val="24"/>
          <w:szCs w:val="24"/>
          <w:lang w:val="en-GB"/>
        </w:rPr>
        <w:t>Conclusion</w:t>
      </w:r>
    </w:p>
    <w:p w14:paraId="2ACD4F35" w14:textId="17B17778" w:rsidR="009D3608" w:rsidRPr="009E0F3B" w:rsidRDefault="00A00AB9" w:rsidP="00F20BAC">
      <w:pPr>
        <w:jc w:val="both"/>
        <w:rPr>
          <w:rFonts w:ascii="Cambria" w:hAnsi="Cambria"/>
          <w:sz w:val="24"/>
          <w:szCs w:val="24"/>
          <w:lang w:val="en-GB"/>
        </w:rPr>
      </w:pPr>
      <w:proofErr w:type="gramStart"/>
      <w:r w:rsidRPr="009E0F3B">
        <w:rPr>
          <w:rFonts w:ascii="Cambria" w:hAnsi="Cambria"/>
          <w:sz w:val="24"/>
          <w:szCs w:val="24"/>
          <w:lang w:val="en-GB"/>
        </w:rPr>
        <w:t>In the course of</w:t>
      </w:r>
      <w:proofErr w:type="gramEnd"/>
      <w:r w:rsidRPr="009E0F3B">
        <w:rPr>
          <w:rFonts w:ascii="Cambria" w:hAnsi="Cambria"/>
          <w:sz w:val="24"/>
          <w:szCs w:val="24"/>
          <w:lang w:val="en-GB"/>
        </w:rPr>
        <w:t xml:space="preserve"> our research, we explored the perspectives of university students studying in Hungarian language in the Carpathian Basin on teacher authority. According to the opinions of the participants, the most characteristic features of an authoritative teacher are being strict (185), respectful (164), firm, kind and helpful (134). Furthermore, the most important factors contributing to the loss of teacher authority are being disrespectful (130), unfair (112) and condescending (85) towards their students. </w:t>
      </w:r>
      <w:proofErr w:type="gramStart"/>
      <w:r w:rsidRPr="009E0F3B">
        <w:rPr>
          <w:rFonts w:ascii="Cambria" w:hAnsi="Cambria"/>
          <w:sz w:val="24"/>
          <w:szCs w:val="24"/>
          <w:lang w:val="en-GB"/>
        </w:rPr>
        <w:t>The majority of</w:t>
      </w:r>
      <w:proofErr w:type="gramEnd"/>
      <w:r w:rsidRPr="009E0F3B">
        <w:rPr>
          <w:rFonts w:ascii="Cambria" w:hAnsi="Cambria"/>
          <w:sz w:val="24"/>
          <w:szCs w:val="24"/>
          <w:lang w:val="en-GB"/>
        </w:rPr>
        <w:t xml:space="preserve"> the personality traits listed by the participants could be classified as cooperative, friendly and conscientious, while the personality traits of extraversion, openness to experiences and emotionality were almost absent. Based on these results, it can be concluded that tolerance, trustworthiness, compassion, organisation</w:t>
      </w:r>
      <w:r w:rsidR="00F61769" w:rsidRPr="009E0F3B">
        <w:rPr>
          <w:rFonts w:ascii="Cambria" w:hAnsi="Cambria"/>
          <w:sz w:val="24"/>
          <w:szCs w:val="24"/>
          <w:lang w:val="en-GB"/>
        </w:rPr>
        <w:t>,</w:t>
      </w:r>
      <w:r w:rsidRPr="009E0F3B">
        <w:rPr>
          <w:rFonts w:ascii="Cambria" w:hAnsi="Cambria"/>
          <w:sz w:val="24"/>
          <w:szCs w:val="24"/>
          <w:lang w:val="en-GB"/>
        </w:rPr>
        <w:t xml:space="preserve"> and self-discipline are important components of teacher authority in the sample studied, based on the Big Five model. Conversely</w:t>
      </w:r>
      <w:r w:rsidR="00F61769" w:rsidRPr="009E0F3B">
        <w:rPr>
          <w:rFonts w:ascii="Cambria" w:hAnsi="Cambria"/>
          <w:sz w:val="24"/>
          <w:szCs w:val="24"/>
          <w:lang w:val="en-GB"/>
        </w:rPr>
        <w:t xml:space="preserve">, the misuse of these attributes appears to result in a </w:t>
      </w:r>
      <w:r w:rsidR="004D25AD" w:rsidRPr="009E0F3B">
        <w:rPr>
          <w:rFonts w:ascii="Cambria" w:hAnsi="Cambria"/>
          <w:sz w:val="24"/>
          <w:szCs w:val="24"/>
          <w:lang w:val="en-GB"/>
        </w:rPr>
        <w:t>reduced</w:t>
      </w:r>
      <w:r w:rsidR="00F61769" w:rsidRPr="009E0F3B">
        <w:rPr>
          <w:rFonts w:ascii="Cambria" w:hAnsi="Cambria"/>
          <w:sz w:val="24"/>
          <w:szCs w:val="24"/>
          <w:lang w:val="en-GB"/>
        </w:rPr>
        <w:t xml:space="preserve"> sense of authority, as reported by the participants</w:t>
      </w:r>
      <w:r w:rsidRPr="009E0F3B">
        <w:rPr>
          <w:rFonts w:ascii="Cambria" w:hAnsi="Cambria"/>
          <w:sz w:val="24"/>
          <w:szCs w:val="24"/>
          <w:lang w:val="en-GB"/>
        </w:rPr>
        <w:t xml:space="preserve">. The personality traits in the dimensions of </w:t>
      </w:r>
      <w:r w:rsidR="00F61769" w:rsidRPr="009E0F3B">
        <w:rPr>
          <w:rFonts w:ascii="Cambria" w:hAnsi="Cambria"/>
          <w:sz w:val="24"/>
          <w:szCs w:val="24"/>
          <w:lang w:val="en-GB"/>
        </w:rPr>
        <w:t>agreeableness</w:t>
      </w:r>
      <w:r w:rsidRPr="009E0F3B">
        <w:rPr>
          <w:rFonts w:ascii="Cambria" w:hAnsi="Cambria"/>
          <w:sz w:val="24"/>
          <w:szCs w:val="24"/>
          <w:lang w:val="en-GB"/>
        </w:rPr>
        <w:t xml:space="preserve"> and conscientiousness reflect the teacher's attitude towards the students. Disrespect, </w:t>
      </w:r>
      <w:proofErr w:type="gramStart"/>
      <w:r w:rsidRPr="009E0F3B">
        <w:rPr>
          <w:rFonts w:ascii="Cambria" w:hAnsi="Cambria"/>
          <w:sz w:val="24"/>
          <w:szCs w:val="24"/>
          <w:lang w:val="en-GB"/>
        </w:rPr>
        <w:t>unfairness</w:t>
      </w:r>
      <w:proofErr w:type="gramEnd"/>
      <w:r w:rsidRPr="009E0F3B">
        <w:rPr>
          <w:rFonts w:ascii="Cambria" w:hAnsi="Cambria"/>
          <w:sz w:val="24"/>
          <w:szCs w:val="24"/>
          <w:lang w:val="en-GB"/>
        </w:rPr>
        <w:t xml:space="preserve"> and contempt are in contrast to the modern view that children should be taught to be independen</w:t>
      </w:r>
      <w:r w:rsidR="00F61769" w:rsidRPr="009E0F3B">
        <w:rPr>
          <w:rFonts w:ascii="Cambria" w:hAnsi="Cambria"/>
          <w:sz w:val="24"/>
          <w:szCs w:val="24"/>
          <w:lang w:val="en-GB"/>
        </w:rPr>
        <w:t>t and critical thinkers. These children</w:t>
      </w:r>
      <w:r w:rsidRPr="009E0F3B">
        <w:rPr>
          <w:rFonts w:ascii="Cambria" w:hAnsi="Cambria"/>
          <w:sz w:val="24"/>
          <w:szCs w:val="24"/>
          <w:lang w:val="en-GB"/>
        </w:rPr>
        <w:t xml:space="preserve"> already have expectations of the teacher, just as teachers have of them, such as cooperation, </w:t>
      </w:r>
      <w:proofErr w:type="gramStart"/>
      <w:r w:rsidRPr="009E0F3B">
        <w:rPr>
          <w:rFonts w:ascii="Cambria" w:hAnsi="Cambria"/>
          <w:sz w:val="24"/>
          <w:szCs w:val="24"/>
          <w:lang w:val="en-GB"/>
        </w:rPr>
        <w:t>appreciation</w:t>
      </w:r>
      <w:proofErr w:type="gramEnd"/>
      <w:r w:rsidRPr="009E0F3B">
        <w:rPr>
          <w:rFonts w:ascii="Cambria" w:hAnsi="Cambria"/>
          <w:sz w:val="24"/>
          <w:szCs w:val="24"/>
          <w:lang w:val="en-GB"/>
        </w:rPr>
        <w:t xml:space="preserve"> and equal treatment. This may be the reason why personality t</w:t>
      </w:r>
      <w:r w:rsidR="00F61769" w:rsidRPr="009E0F3B">
        <w:rPr>
          <w:rFonts w:ascii="Cambria" w:hAnsi="Cambria"/>
          <w:sz w:val="24"/>
          <w:szCs w:val="24"/>
          <w:lang w:val="en-GB"/>
        </w:rPr>
        <w:t>raits that reflect the teacher’s</w:t>
      </w:r>
      <w:r w:rsidRPr="009E0F3B">
        <w:rPr>
          <w:rFonts w:ascii="Cambria" w:hAnsi="Cambria"/>
          <w:sz w:val="24"/>
          <w:szCs w:val="24"/>
          <w:lang w:val="en-GB"/>
        </w:rPr>
        <w:t xml:space="preserve"> relationship with </w:t>
      </w:r>
      <w:r w:rsidR="00F61769" w:rsidRPr="009E0F3B">
        <w:rPr>
          <w:rFonts w:ascii="Cambria" w:hAnsi="Cambria"/>
          <w:sz w:val="24"/>
          <w:szCs w:val="24"/>
          <w:lang w:val="en-GB"/>
        </w:rPr>
        <w:t>themselves</w:t>
      </w:r>
      <w:r w:rsidRPr="009E0F3B">
        <w:rPr>
          <w:rFonts w:ascii="Cambria" w:hAnsi="Cambria"/>
          <w:sz w:val="24"/>
          <w:szCs w:val="24"/>
          <w:lang w:val="en-GB"/>
        </w:rPr>
        <w:t xml:space="preserve">, even if negative, do not directly entail a loss of authority. However, further research is needed to prove this hypothesis. Another </w:t>
      </w:r>
      <w:r w:rsidR="00F61769" w:rsidRPr="009E0F3B">
        <w:rPr>
          <w:rFonts w:ascii="Cambria" w:hAnsi="Cambria"/>
          <w:sz w:val="24"/>
          <w:szCs w:val="24"/>
          <w:lang w:val="en-GB"/>
        </w:rPr>
        <w:t xml:space="preserve">area </w:t>
      </w:r>
      <w:r w:rsidRPr="009E0F3B">
        <w:rPr>
          <w:rFonts w:ascii="Cambria" w:hAnsi="Cambria"/>
          <w:sz w:val="24"/>
          <w:szCs w:val="24"/>
          <w:lang w:val="en-GB"/>
        </w:rPr>
        <w:t xml:space="preserve">for further research could be the humiliation of students by teachers, which 4.6% of the students in the present study (48) had already encountered. </w:t>
      </w:r>
      <w:r w:rsidR="0099615C" w:rsidRPr="009E0F3B">
        <w:rPr>
          <w:rFonts w:ascii="Cambria" w:hAnsi="Cambria"/>
          <w:sz w:val="24"/>
          <w:szCs w:val="24"/>
          <w:lang w:val="en-GB"/>
        </w:rPr>
        <w:t xml:space="preserve">The issue at hand is </w:t>
      </w:r>
      <w:r w:rsidR="0099615C" w:rsidRPr="009E0F3B">
        <w:rPr>
          <w:rFonts w:ascii="Cambria" w:hAnsi="Cambria"/>
          <w:sz w:val="24"/>
          <w:szCs w:val="24"/>
          <w:lang w:val="en-GB"/>
        </w:rPr>
        <w:lastRenderedPageBreak/>
        <w:t>whether the teacher’s loss of authority can be justified based on the following considerations: (1) the student having personally endured humiliation; (2) the student having observed a fellow peer being subjected to humiliation by a teacher; and (3) the student having learned of such an incident through hearsay or informal communication.</w:t>
      </w:r>
      <w:r w:rsidR="009D3608" w:rsidRPr="009E0F3B">
        <w:rPr>
          <w:rFonts w:ascii="Cambria" w:hAnsi="Cambria"/>
          <w:sz w:val="24"/>
          <w:szCs w:val="24"/>
          <w:lang w:val="en-GB"/>
        </w:rPr>
        <w:tab/>
      </w:r>
    </w:p>
    <w:p w14:paraId="68B76A20" w14:textId="55E5ED84" w:rsidR="003D0710" w:rsidRPr="009E0F3B" w:rsidRDefault="003D0710" w:rsidP="00F20BAC">
      <w:pPr>
        <w:jc w:val="both"/>
        <w:rPr>
          <w:rFonts w:ascii="Cambria" w:hAnsi="Cambria"/>
          <w:b/>
          <w:sz w:val="24"/>
          <w:szCs w:val="24"/>
          <w:lang w:val="en-GB"/>
        </w:rPr>
      </w:pPr>
      <w:r w:rsidRPr="009E0F3B">
        <w:rPr>
          <w:rFonts w:ascii="Cambria" w:hAnsi="Cambria"/>
          <w:b/>
          <w:sz w:val="24"/>
          <w:szCs w:val="24"/>
          <w:lang w:val="en-GB"/>
        </w:rPr>
        <w:t>References</w:t>
      </w:r>
    </w:p>
    <w:p w14:paraId="5335F743" w14:textId="77777777"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Allport, G. (1997). </w:t>
      </w:r>
      <w:r w:rsidRPr="009E0F3B">
        <w:rPr>
          <w:rFonts w:ascii="Cambria" w:hAnsi="Cambria"/>
          <w:i/>
          <w:iCs/>
          <w:sz w:val="24"/>
          <w:szCs w:val="24"/>
          <w:lang w:val="en-GB"/>
        </w:rPr>
        <w:t xml:space="preserve">A </w:t>
      </w:r>
      <w:proofErr w:type="spellStart"/>
      <w:r w:rsidRPr="009E0F3B">
        <w:rPr>
          <w:rFonts w:ascii="Cambria" w:hAnsi="Cambria"/>
          <w:i/>
          <w:iCs/>
          <w:sz w:val="24"/>
          <w:szCs w:val="24"/>
          <w:lang w:val="en-GB"/>
        </w:rPr>
        <w:t>személyiség</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alakulása</w:t>
      </w:r>
      <w:proofErr w:type="spellEnd"/>
      <w:r w:rsidRPr="009E0F3B">
        <w:rPr>
          <w:rFonts w:ascii="Cambria" w:hAnsi="Cambria"/>
          <w:sz w:val="24"/>
          <w:szCs w:val="24"/>
          <w:lang w:val="en-GB"/>
        </w:rPr>
        <w:t xml:space="preserve"> [The formation of personality]. </w:t>
      </w:r>
      <w:proofErr w:type="spellStart"/>
      <w:r w:rsidRPr="009E0F3B">
        <w:rPr>
          <w:rFonts w:ascii="Cambria" w:hAnsi="Cambria"/>
          <w:sz w:val="24"/>
          <w:szCs w:val="24"/>
          <w:lang w:val="en-GB"/>
        </w:rPr>
        <w:t>Kairosz</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585BA925" w14:textId="77777777"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A </w:t>
      </w:r>
      <w:proofErr w:type="spellStart"/>
      <w:r w:rsidRPr="009E0F3B">
        <w:rPr>
          <w:rFonts w:ascii="Cambria" w:hAnsi="Cambria"/>
          <w:sz w:val="24"/>
          <w:szCs w:val="24"/>
          <w:lang w:val="en-GB"/>
        </w:rPr>
        <w:t>magyar</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nyelv</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értelmező</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szótára</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tekintély</w:t>
      </w:r>
      <w:proofErr w:type="spellEnd"/>
      <w:r w:rsidRPr="009E0F3B">
        <w:rPr>
          <w:rFonts w:ascii="Cambria" w:hAnsi="Cambria"/>
          <w:sz w:val="24"/>
          <w:szCs w:val="24"/>
          <w:lang w:val="en-GB"/>
        </w:rPr>
        <w:t xml:space="preserve"> [Dictionary of the Hungarian language: authority]. (n.d.). Arcanum </w:t>
      </w:r>
      <w:proofErr w:type="spellStart"/>
      <w:r w:rsidRPr="009E0F3B">
        <w:rPr>
          <w:rFonts w:ascii="Cambria" w:hAnsi="Cambria"/>
          <w:sz w:val="24"/>
          <w:szCs w:val="24"/>
          <w:lang w:val="en-GB"/>
        </w:rPr>
        <w:t>Adatbázis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 xml:space="preserve">. Retrieved March 30, 2024, from </w:t>
      </w:r>
      <w:hyperlink r:id="rId10" w:tgtFrame="_new" w:history="1">
        <w:r w:rsidRPr="009E0F3B">
          <w:rPr>
            <w:rStyle w:val="Hiperhivatkozs"/>
            <w:rFonts w:ascii="Cambria" w:hAnsi="Cambria"/>
            <w:sz w:val="24"/>
            <w:szCs w:val="24"/>
            <w:lang w:val="en-GB"/>
          </w:rPr>
          <w:t>https://www.arcanum.com/hu/online-kiadvanyok/Lexikonok-a-magyar-nyelv-szotaraczuczorfogarasi-55BEC/</w:t>
        </w:r>
      </w:hyperlink>
    </w:p>
    <w:p w14:paraId="4F74C82F" w14:textId="77777777" w:rsidR="006D73CD" w:rsidRPr="009E0F3B" w:rsidRDefault="006D73CD" w:rsidP="006D73CD">
      <w:pPr>
        <w:jc w:val="both"/>
        <w:rPr>
          <w:rFonts w:ascii="Cambria" w:hAnsi="Cambria"/>
          <w:sz w:val="24"/>
          <w:szCs w:val="24"/>
          <w:lang w:val="en-GB"/>
        </w:rPr>
      </w:pPr>
      <w:proofErr w:type="spellStart"/>
      <w:r w:rsidRPr="009E0F3B">
        <w:rPr>
          <w:rFonts w:ascii="Cambria" w:hAnsi="Cambria"/>
          <w:sz w:val="24"/>
          <w:szCs w:val="24"/>
          <w:lang w:val="en-GB"/>
        </w:rPr>
        <w:t>Bagdy</w:t>
      </w:r>
      <w:proofErr w:type="spellEnd"/>
      <w:r w:rsidRPr="009E0F3B">
        <w:rPr>
          <w:rFonts w:ascii="Cambria" w:hAnsi="Cambria"/>
          <w:sz w:val="24"/>
          <w:szCs w:val="24"/>
          <w:lang w:val="en-GB"/>
        </w:rPr>
        <w:t xml:space="preserve">, E. (1997). </w:t>
      </w:r>
      <w:r w:rsidRPr="009E0F3B">
        <w:rPr>
          <w:rFonts w:ascii="Cambria" w:hAnsi="Cambria"/>
          <w:i/>
          <w:iCs/>
          <w:sz w:val="24"/>
          <w:szCs w:val="24"/>
          <w:lang w:val="en-GB"/>
        </w:rPr>
        <w:t xml:space="preserve">A </w:t>
      </w:r>
      <w:proofErr w:type="spellStart"/>
      <w:r w:rsidRPr="009E0F3B">
        <w:rPr>
          <w:rFonts w:ascii="Cambria" w:hAnsi="Cambria"/>
          <w:i/>
          <w:iCs/>
          <w:sz w:val="24"/>
          <w:szCs w:val="24"/>
          <w:lang w:val="en-GB"/>
        </w:rPr>
        <w:t>pedagógus</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hivatás</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személyisége</w:t>
      </w:r>
      <w:proofErr w:type="spellEnd"/>
      <w:r w:rsidRPr="009E0F3B">
        <w:rPr>
          <w:rFonts w:ascii="Cambria" w:hAnsi="Cambria"/>
          <w:sz w:val="24"/>
          <w:szCs w:val="24"/>
          <w:lang w:val="en-GB"/>
        </w:rPr>
        <w:t xml:space="preserve"> [The personality of the teaching profession]. </w:t>
      </w:r>
      <w:proofErr w:type="spellStart"/>
      <w:r w:rsidRPr="009E0F3B">
        <w:rPr>
          <w:rFonts w:ascii="Cambria" w:hAnsi="Cambria"/>
          <w:sz w:val="24"/>
          <w:szCs w:val="24"/>
          <w:lang w:val="en-GB"/>
        </w:rPr>
        <w:t>Kossuth</w:t>
      </w:r>
      <w:proofErr w:type="spellEnd"/>
      <w:r w:rsidRPr="009E0F3B">
        <w:rPr>
          <w:rFonts w:ascii="Cambria" w:hAnsi="Cambria"/>
          <w:sz w:val="24"/>
          <w:szCs w:val="24"/>
          <w:lang w:val="en-GB"/>
        </w:rPr>
        <w:t xml:space="preserve"> Lajos </w:t>
      </w:r>
      <w:proofErr w:type="spellStart"/>
      <w:r w:rsidRPr="009E0F3B">
        <w:rPr>
          <w:rFonts w:ascii="Cambria" w:hAnsi="Cambria"/>
          <w:sz w:val="24"/>
          <w:szCs w:val="24"/>
          <w:lang w:val="en-GB"/>
        </w:rPr>
        <w:t>Tudományegyetem</w:t>
      </w:r>
      <w:proofErr w:type="spellEnd"/>
      <w:r w:rsidRPr="009E0F3B">
        <w:rPr>
          <w:rFonts w:ascii="Cambria" w:hAnsi="Cambria"/>
          <w:sz w:val="24"/>
          <w:szCs w:val="24"/>
          <w:lang w:val="en-GB"/>
        </w:rPr>
        <w:t>.</w:t>
      </w:r>
    </w:p>
    <w:p w14:paraId="4E308173" w14:textId="77777777" w:rsidR="006D73CD" w:rsidRPr="009E0F3B" w:rsidRDefault="006D73CD" w:rsidP="006D73CD">
      <w:pPr>
        <w:jc w:val="both"/>
        <w:rPr>
          <w:rFonts w:ascii="Cambria" w:hAnsi="Cambria"/>
          <w:sz w:val="24"/>
          <w:szCs w:val="24"/>
          <w:lang w:val="en-GB"/>
        </w:rPr>
      </w:pPr>
      <w:proofErr w:type="spellStart"/>
      <w:r w:rsidRPr="009E0F3B">
        <w:rPr>
          <w:rFonts w:ascii="Cambria" w:hAnsi="Cambria"/>
          <w:sz w:val="24"/>
          <w:szCs w:val="24"/>
          <w:lang w:val="en-GB"/>
        </w:rPr>
        <w:t>Ballér</w:t>
      </w:r>
      <w:proofErr w:type="spellEnd"/>
      <w:r w:rsidRPr="009E0F3B">
        <w:rPr>
          <w:rFonts w:ascii="Cambria" w:hAnsi="Cambria"/>
          <w:sz w:val="24"/>
          <w:szCs w:val="24"/>
          <w:lang w:val="en-GB"/>
        </w:rPr>
        <w:t xml:space="preserve">, E. (Ed.). (1983). </w:t>
      </w:r>
      <w:proofErr w:type="spellStart"/>
      <w:r w:rsidRPr="009E0F3B">
        <w:rPr>
          <w:rFonts w:ascii="Cambria" w:hAnsi="Cambria"/>
          <w:i/>
          <w:iCs/>
          <w:sz w:val="24"/>
          <w:szCs w:val="24"/>
          <w:lang w:val="en-GB"/>
        </w:rPr>
        <w:t>Pedagógia</w:t>
      </w:r>
      <w:proofErr w:type="spellEnd"/>
      <w:r w:rsidRPr="009E0F3B">
        <w:rPr>
          <w:rFonts w:ascii="Cambria" w:hAnsi="Cambria"/>
          <w:i/>
          <w:iCs/>
          <w:sz w:val="24"/>
          <w:szCs w:val="24"/>
          <w:lang w:val="en-GB"/>
        </w:rPr>
        <w:t xml:space="preserve"> III. A </w:t>
      </w:r>
      <w:proofErr w:type="spellStart"/>
      <w:r w:rsidRPr="009E0F3B">
        <w:rPr>
          <w:rFonts w:ascii="Cambria" w:hAnsi="Cambria"/>
          <w:i/>
          <w:iCs/>
          <w:sz w:val="24"/>
          <w:szCs w:val="24"/>
          <w:lang w:val="en-GB"/>
        </w:rPr>
        <w:t>pedagógus</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kísérleti</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jegyzet</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kézirat</w:t>
      </w:r>
      <w:proofErr w:type="spellEnd"/>
      <w:r w:rsidRPr="009E0F3B">
        <w:rPr>
          <w:rFonts w:ascii="Cambria" w:hAnsi="Cambria"/>
          <w:i/>
          <w:iCs/>
          <w:sz w:val="24"/>
          <w:szCs w:val="24"/>
          <w:lang w:val="en-GB"/>
        </w:rPr>
        <w:t>)</w:t>
      </w:r>
      <w:r w:rsidRPr="009E0F3B">
        <w:rPr>
          <w:rFonts w:ascii="Cambria" w:hAnsi="Cambria"/>
          <w:sz w:val="24"/>
          <w:szCs w:val="24"/>
          <w:lang w:val="en-GB"/>
        </w:rPr>
        <w:t xml:space="preserve"> [Pedagogy III: The teacher (pilot note, manuscript)]. </w:t>
      </w:r>
      <w:proofErr w:type="spellStart"/>
      <w:r w:rsidRPr="009E0F3B">
        <w:rPr>
          <w:rFonts w:ascii="Cambria" w:hAnsi="Cambria"/>
          <w:sz w:val="24"/>
          <w:szCs w:val="24"/>
          <w:lang w:val="en-GB"/>
        </w:rPr>
        <w:t>Tankönyvkiadó</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Vállalat</w:t>
      </w:r>
      <w:proofErr w:type="spellEnd"/>
      <w:r w:rsidRPr="009E0F3B">
        <w:rPr>
          <w:rFonts w:ascii="Cambria" w:hAnsi="Cambria"/>
          <w:sz w:val="24"/>
          <w:szCs w:val="24"/>
          <w:lang w:val="en-GB"/>
        </w:rPr>
        <w:t>.</w:t>
      </w:r>
    </w:p>
    <w:p w14:paraId="35E2F278" w14:textId="77777777"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Boreczky, Á. (1997). A </w:t>
      </w:r>
      <w:proofErr w:type="spellStart"/>
      <w:r w:rsidRPr="009E0F3B">
        <w:rPr>
          <w:rFonts w:ascii="Cambria" w:hAnsi="Cambria"/>
          <w:sz w:val="24"/>
          <w:szCs w:val="24"/>
          <w:lang w:val="en-GB"/>
        </w:rPr>
        <w:t>gyermekkor</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változó</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színterei</w:t>
      </w:r>
      <w:proofErr w:type="spellEnd"/>
      <w:r w:rsidRPr="009E0F3B">
        <w:rPr>
          <w:rFonts w:ascii="Cambria" w:hAnsi="Cambria"/>
          <w:sz w:val="24"/>
          <w:szCs w:val="24"/>
          <w:lang w:val="en-GB"/>
        </w:rPr>
        <w:t xml:space="preserve"> [The changing scenes of childhood]. In A. </w:t>
      </w:r>
      <w:proofErr w:type="spellStart"/>
      <w:r w:rsidRPr="009E0F3B">
        <w:rPr>
          <w:rFonts w:ascii="Cambria" w:hAnsi="Cambria"/>
          <w:sz w:val="24"/>
          <w:szCs w:val="24"/>
          <w:lang w:val="en-GB"/>
        </w:rPr>
        <w:t>Németh</w:t>
      </w:r>
      <w:proofErr w:type="spellEnd"/>
      <w:r w:rsidRPr="009E0F3B">
        <w:rPr>
          <w:rFonts w:ascii="Cambria" w:hAnsi="Cambria"/>
          <w:sz w:val="24"/>
          <w:szCs w:val="24"/>
          <w:lang w:val="en-GB"/>
        </w:rPr>
        <w:t xml:space="preserve"> (Ed.), </w:t>
      </w:r>
      <w:proofErr w:type="spellStart"/>
      <w:r w:rsidRPr="009E0F3B">
        <w:rPr>
          <w:rFonts w:ascii="Cambria" w:hAnsi="Cambria"/>
          <w:i/>
          <w:iCs/>
          <w:sz w:val="24"/>
          <w:szCs w:val="24"/>
          <w:lang w:val="en-GB"/>
        </w:rPr>
        <w:t>Nevelés</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gyermek</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iskola</w:t>
      </w:r>
      <w:proofErr w:type="spellEnd"/>
      <w:r w:rsidRPr="009E0F3B">
        <w:rPr>
          <w:rFonts w:ascii="Cambria" w:hAnsi="Cambria"/>
          <w:sz w:val="24"/>
          <w:szCs w:val="24"/>
          <w:lang w:val="en-GB"/>
        </w:rPr>
        <w:t xml:space="preserve"> (pp. 159–228). </w:t>
      </w:r>
      <w:proofErr w:type="spellStart"/>
      <w:r w:rsidRPr="009E0F3B">
        <w:rPr>
          <w:rFonts w:ascii="Cambria" w:hAnsi="Cambria"/>
          <w:sz w:val="24"/>
          <w:szCs w:val="24"/>
          <w:lang w:val="en-GB"/>
        </w:rPr>
        <w:t>Eötvös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József</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Könyvkiadó</w:t>
      </w:r>
      <w:proofErr w:type="spellEnd"/>
      <w:r w:rsidRPr="009E0F3B">
        <w:rPr>
          <w:rFonts w:ascii="Cambria" w:hAnsi="Cambria"/>
          <w:sz w:val="24"/>
          <w:szCs w:val="24"/>
          <w:lang w:val="en-GB"/>
        </w:rPr>
        <w:t>.</w:t>
      </w:r>
    </w:p>
    <w:p w14:paraId="5E7CA954" w14:textId="77777777"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Cartwright, D., &amp; Zander, A. (Eds.). (1968). </w:t>
      </w:r>
      <w:r w:rsidRPr="009E0F3B">
        <w:rPr>
          <w:rFonts w:ascii="Cambria" w:hAnsi="Cambria"/>
          <w:i/>
          <w:iCs/>
          <w:sz w:val="24"/>
          <w:szCs w:val="24"/>
          <w:lang w:val="en-GB"/>
        </w:rPr>
        <w:t>Group dynamics: Research and theory</w:t>
      </w:r>
      <w:r w:rsidRPr="009E0F3B">
        <w:rPr>
          <w:rFonts w:ascii="Cambria" w:hAnsi="Cambria"/>
          <w:sz w:val="24"/>
          <w:szCs w:val="24"/>
          <w:lang w:val="en-GB"/>
        </w:rPr>
        <w:t xml:space="preserve"> (3rd ed.). Harper &amp; Row.</w:t>
      </w:r>
    </w:p>
    <w:p w14:paraId="6F78DD25" w14:textId="77777777" w:rsidR="006D73CD" w:rsidRPr="009E0F3B" w:rsidRDefault="006D73CD" w:rsidP="006D73CD">
      <w:pPr>
        <w:jc w:val="both"/>
        <w:rPr>
          <w:rFonts w:ascii="Cambria" w:hAnsi="Cambria"/>
          <w:sz w:val="24"/>
          <w:szCs w:val="24"/>
          <w:lang w:val="en-GB"/>
        </w:rPr>
      </w:pPr>
      <w:proofErr w:type="spellStart"/>
      <w:r w:rsidRPr="009E0F3B">
        <w:rPr>
          <w:rFonts w:ascii="Cambria" w:hAnsi="Cambria"/>
          <w:sz w:val="24"/>
          <w:szCs w:val="24"/>
          <w:lang w:val="en-GB"/>
        </w:rPr>
        <w:t>Csorba</w:t>
      </w:r>
      <w:proofErr w:type="spellEnd"/>
      <w:r w:rsidRPr="009E0F3B">
        <w:rPr>
          <w:rFonts w:ascii="Cambria" w:hAnsi="Cambria"/>
          <w:sz w:val="24"/>
          <w:szCs w:val="24"/>
          <w:lang w:val="en-GB"/>
        </w:rPr>
        <w:t xml:space="preserve">, F. L. (1995). „Ki </w:t>
      </w:r>
      <w:proofErr w:type="spellStart"/>
      <w:r w:rsidRPr="009E0F3B">
        <w:rPr>
          <w:rFonts w:ascii="Cambria" w:hAnsi="Cambria"/>
          <w:sz w:val="24"/>
          <w:szCs w:val="24"/>
          <w:lang w:val="en-GB"/>
        </w:rPr>
        <w:t>lehet</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vívni</w:t>
      </w:r>
      <w:proofErr w:type="spellEnd"/>
      <w:r w:rsidRPr="009E0F3B">
        <w:rPr>
          <w:rFonts w:ascii="Cambria" w:hAnsi="Cambria"/>
          <w:sz w:val="24"/>
          <w:szCs w:val="24"/>
          <w:lang w:val="en-GB"/>
        </w:rPr>
        <w:t xml:space="preserve">, de </w:t>
      </w:r>
      <w:proofErr w:type="spellStart"/>
      <w:r w:rsidRPr="009E0F3B">
        <w:rPr>
          <w:rFonts w:ascii="Cambria" w:hAnsi="Cambria"/>
          <w:sz w:val="24"/>
          <w:szCs w:val="24"/>
          <w:lang w:val="en-GB"/>
        </w:rPr>
        <w:t>nem</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szükségszerű</w:t>
      </w:r>
      <w:proofErr w:type="spellEnd"/>
      <w:r w:rsidRPr="009E0F3B">
        <w:rPr>
          <w:rFonts w:ascii="Cambria" w:hAnsi="Cambria"/>
          <w:sz w:val="24"/>
          <w:szCs w:val="24"/>
          <w:lang w:val="en-GB"/>
        </w:rPr>
        <w:t xml:space="preserve">” ["It can be fought, but it is not necessary"]. </w:t>
      </w:r>
      <w:proofErr w:type="spellStart"/>
      <w:r w:rsidRPr="009E0F3B">
        <w:rPr>
          <w:rFonts w:ascii="Cambria" w:hAnsi="Cambria"/>
          <w:i/>
          <w:iCs/>
          <w:sz w:val="24"/>
          <w:szCs w:val="24"/>
          <w:lang w:val="en-GB"/>
        </w:rPr>
        <w:t>Új</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Pedagógiai</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Szemle</w:t>
      </w:r>
      <w:proofErr w:type="spellEnd"/>
      <w:r w:rsidRPr="009E0F3B">
        <w:rPr>
          <w:rFonts w:ascii="Cambria" w:hAnsi="Cambria"/>
          <w:i/>
          <w:iCs/>
          <w:sz w:val="24"/>
          <w:szCs w:val="24"/>
          <w:lang w:val="en-GB"/>
        </w:rPr>
        <w:t>, 45</w:t>
      </w:r>
      <w:r w:rsidRPr="009E0F3B">
        <w:rPr>
          <w:rFonts w:ascii="Cambria" w:hAnsi="Cambria"/>
          <w:sz w:val="24"/>
          <w:szCs w:val="24"/>
          <w:lang w:val="en-GB"/>
        </w:rPr>
        <w:t>(3), 34–47.</w:t>
      </w:r>
    </w:p>
    <w:p w14:paraId="0AC8C849" w14:textId="77777777"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Day, C. (1993). Reflection: A necessary but not sufficient condition for professional development. </w:t>
      </w:r>
      <w:r w:rsidRPr="009E0F3B">
        <w:rPr>
          <w:rFonts w:ascii="Cambria" w:hAnsi="Cambria"/>
          <w:i/>
          <w:iCs/>
          <w:sz w:val="24"/>
          <w:szCs w:val="24"/>
          <w:lang w:val="en-GB"/>
        </w:rPr>
        <w:t>British Educational Research Journal, 19</w:t>
      </w:r>
      <w:r w:rsidRPr="009E0F3B">
        <w:rPr>
          <w:rFonts w:ascii="Cambria" w:hAnsi="Cambria"/>
          <w:sz w:val="24"/>
          <w:szCs w:val="24"/>
          <w:lang w:val="en-GB"/>
        </w:rPr>
        <w:t xml:space="preserve">(1), 83–93. </w:t>
      </w:r>
      <w:hyperlink r:id="rId11" w:tgtFrame="_new" w:history="1">
        <w:r w:rsidRPr="009E0F3B">
          <w:rPr>
            <w:rStyle w:val="Hiperhivatkozs"/>
            <w:rFonts w:ascii="Cambria" w:hAnsi="Cambria"/>
            <w:sz w:val="24"/>
            <w:szCs w:val="24"/>
            <w:lang w:val="en-GB"/>
          </w:rPr>
          <w:t>https://doi.org/10.1080/0141192930190107</w:t>
        </w:r>
      </w:hyperlink>
    </w:p>
    <w:p w14:paraId="53B8451A" w14:textId="56BC5829" w:rsidR="006D73CD" w:rsidRPr="009E0F3B" w:rsidRDefault="006D73CD" w:rsidP="006D73CD">
      <w:pPr>
        <w:jc w:val="both"/>
        <w:rPr>
          <w:rFonts w:ascii="Cambria" w:hAnsi="Cambria"/>
          <w:sz w:val="24"/>
          <w:szCs w:val="24"/>
          <w:lang w:val="en-GB"/>
        </w:rPr>
      </w:pPr>
      <w:r w:rsidRPr="009E0F3B">
        <w:rPr>
          <w:rFonts w:ascii="Cambria" w:hAnsi="Cambria"/>
          <w:sz w:val="24"/>
          <w:szCs w:val="24"/>
          <w:lang w:val="en-GB"/>
        </w:rPr>
        <w:t xml:space="preserve">DeYoung, C. G., Carey, B. E., Krueger, R. F., &amp; Ross, S. R. (2016). Ten aspects of the Big Five in the Personality Inventory for DSM–5. </w:t>
      </w:r>
      <w:r w:rsidRPr="009E0F3B">
        <w:rPr>
          <w:rFonts w:ascii="Cambria" w:hAnsi="Cambria"/>
          <w:i/>
          <w:iCs/>
          <w:sz w:val="24"/>
          <w:szCs w:val="24"/>
          <w:lang w:val="en-GB"/>
        </w:rPr>
        <w:t>Personality Disorders: Theory, Research, and Treatment, 7</w:t>
      </w:r>
      <w:r w:rsidRPr="009E0F3B">
        <w:rPr>
          <w:rFonts w:ascii="Cambria" w:hAnsi="Cambria"/>
          <w:sz w:val="24"/>
          <w:szCs w:val="24"/>
          <w:lang w:val="en-GB"/>
        </w:rPr>
        <w:t xml:space="preserve">(2), 113–123. </w:t>
      </w:r>
      <w:hyperlink r:id="rId12" w:tgtFrame="_new" w:history="1">
        <w:r w:rsidRPr="009E0F3B">
          <w:rPr>
            <w:rStyle w:val="Hiperhivatkozs"/>
            <w:rFonts w:ascii="Cambria" w:hAnsi="Cambria"/>
            <w:sz w:val="24"/>
            <w:szCs w:val="24"/>
            <w:lang w:val="en-GB"/>
          </w:rPr>
          <w:t>https://doi.org/10.1037/per0000170</w:t>
        </w:r>
      </w:hyperlink>
    </w:p>
    <w:p w14:paraId="0F51A134" w14:textId="77777777"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t>Gáspár</w:t>
      </w:r>
      <w:proofErr w:type="spellEnd"/>
      <w:r w:rsidRPr="009E0F3B">
        <w:rPr>
          <w:rFonts w:ascii="Cambria" w:hAnsi="Cambria"/>
          <w:sz w:val="24"/>
          <w:szCs w:val="24"/>
          <w:lang w:val="en-GB"/>
        </w:rPr>
        <w:t xml:space="preserve">, M., &amp; </w:t>
      </w:r>
      <w:proofErr w:type="spellStart"/>
      <w:r w:rsidRPr="009E0F3B">
        <w:rPr>
          <w:rFonts w:ascii="Cambria" w:hAnsi="Cambria"/>
          <w:sz w:val="24"/>
          <w:szCs w:val="24"/>
          <w:lang w:val="en-GB"/>
        </w:rPr>
        <w:t>Holecz</w:t>
      </w:r>
      <w:proofErr w:type="spellEnd"/>
      <w:r w:rsidRPr="009E0F3B">
        <w:rPr>
          <w:rFonts w:ascii="Cambria" w:hAnsi="Cambria"/>
          <w:sz w:val="24"/>
          <w:szCs w:val="24"/>
          <w:lang w:val="en-GB"/>
        </w:rPr>
        <w:t xml:space="preserve">, A. (2005). </w:t>
      </w:r>
      <w:proofErr w:type="spellStart"/>
      <w:r w:rsidRPr="009E0F3B">
        <w:rPr>
          <w:rFonts w:ascii="Cambria" w:hAnsi="Cambria"/>
          <w:sz w:val="24"/>
          <w:szCs w:val="24"/>
          <w:lang w:val="en-GB"/>
        </w:rPr>
        <w:t>Pályaszocializáció</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személyiségvonások</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pedagóguspálya</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szempontjából</w:t>
      </w:r>
      <w:proofErr w:type="spellEnd"/>
      <w:r w:rsidRPr="009E0F3B">
        <w:rPr>
          <w:rFonts w:ascii="Cambria" w:hAnsi="Cambria"/>
          <w:sz w:val="24"/>
          <w:szCs w:val="24"/>
          <w:lang w:val="en-GB"/>
        </w:rPr>
        <w:t xml:space="preserve"> [Career socialisation and personality traits for the teaching profession]. </w:t>
      </w:r>
      <w:proofErr w:type="spellStart"/>
      <w:r w:rsidRPr="009E0F3B">
        <w:rPr>
          <w:rFonts w:ascii="Cambria" w:hAnsi="Cambria"/>
          <w:i/>
          <w:iCs/>
          <w:sz w:val="24"/>
          <w:szCs w:val="24"/>
          <w:lang w:val="en-GB"/>
        </w:rPr>
        <w:t>Pedagógusképzők</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és</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Továbbképzők</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Folyóirata</w:t>
      </w:r>
      <w:proofErr w:type="spellEnd"/>
      <w:r w:rsidRPr="009E0F3B">
        <w:rPr>
          <w:rFonts w:ascii="Cambria" w:hAnsi="Cambria"/>
          <w:i/>
          <w:iCs/>
          <w:sz w:val="24"/>
          <w:szCs w:val="24"/>
          <w:lang w:val="en-GB"/>
        </w:rPr>
        <w:t>, 2</w:t>
      </w:r>
      <w:r w:rsidRPr="009E0F3B">
        <w:rPr>
          <w:rFonts w:ascii="Cambria" w:hAnsi="Cambria"/>
          <w:sz w:val="24"/>
          <w:szCs w:val="24"/>
          <w:lang w:val="en-GB"/>
        </w:rPr>
        <w:t>, 23–40.</w:t>
      </w:r>
    </w:p>
    <w:p w14:paraId="49A1F7D8"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G. </w:t>
      </w:r>
      <w:proofErr w:type="spellStart"/>
      <w:r w:rsidRPr="009E0F3B">
        <w:rPr>
          <w:rFonts w:ascii="Cambria" w:hAnsi="Cambria"/>
          <w:sz w:val="24"/>
          <w:szCs w:val="24"/>
          <w:lang w:val="en-GB"/>
        </w:rPr>
        <w:t>Donáth</w:t>
      </w:r>
      <w:proofErr w:type="spellEnd"/>
      <w:r w:rsidRPr="009E0F3B">
        <w:rPr>
          <w:rFonts w:ascii="Cambria" w:hAnsi="Cambria"/>
          <w:sz w:val="24"/>
          <w:szCs w:val="24"/>
          <w:lang w:val="en-GB"/>
        </w:rPr>
        <w:t xml:space="preserve">, B. (1980). A </w:t>
      </w:r>
      <w:proofErr w:type="spellStart"/>
      <w:r w:rsidRPr="009E0F3B">
        <w:rPr>
          <w:rFonts w:ascii="Cambria" w:hAnsi="Cambria"/>
          <w:sz w:val="24"/>
          <w:szCs w:val="24"/>
          <w:lang w:val="en-GB"/>
        </w:rPr>
        <w:t>pozitív</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hatékony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pedagógusszemélyiség</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néhány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aspektusa</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csoportmunka</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alapján</w:t>
      </w:r>
      <w:proofErr w:type="spellEnd"/>
      <w:r w:rsidRPr="009E0F3B">
        <w:rPr>
          <w:rFonts w:ascii="Cambria" w:hAnsi="Cambria"/>
          <w:sz w:val="24"/>
          <w:szCs w:val="24"/>
          <w:lang w:val="en-GB"/>
        </w:rPr>
        <w:t xml:space="preserve"> [Some aspects of a positive and effective teacher personality based on group work]. </w:t>
      </w:r>
      <w:proofErr w:type="spellStart"/>
      <w:r w:rsidRPr="009E0F3B">
        <w:rPr>
          <w:rFonts w:ascii="Cambria" w:hAnsi="Cambria"/>
          <w:sz w:val="24"/>
          <w:szCs w:val="24"/>
          <w:lang w:val="en-GB"/>
        </w:rPr>
        <w:t>Akadémiai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65ADFCE6" w14:textId="77777777"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t>Hajdú</w:t>
      </w:r>
      <w:proofErr w:type="spellEnd"/>
      <w:r w:rsidRPr="009E0F3B">
        <w:rPr>
          <w:rFonts w:ascii="Cambria" w:hAnsi="Cambria"/>
          <w:sz w:val="24"/>
          <w:szCs w:val="24"/>
          <w:lang w:val="en-GB"/>
        </w:rPr>
        <w:t xml:space="preserve">, E. (2001). A </w:t>
      </w:r>
      <w:proofErr w:type="spellStart"/>
      <w:r w:rsidRPr="009E0F3B">
        <w:rPr>
          <w:rFonts w:ascii="Cambria" w:hAnsi="Cambria"/>
          <w:sz w:val="24"/>
          <w:szCs w:val="24"/>
          <w:lang w:val="en-GB"/>
        </w:rPr>
        <w:t>harmadik</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évezred</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első</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nevelői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lesznek</w:t>
      </w:r>
      <w:proofErr w:type="spellEnd"/>
      <w:r w:rsidRPr="009E0F3B">
        <w:rPr>
          <w:rFonts w:ascii="Cambria" w:hAnsi="Cambria"/>
          <w:sz w:val="24"/>
          <w:szCs w:val="24"/>
          <w:lang w:val="en-GB"/>
        </w:rPr>
        <w:t xml:space="preserve"> [The first educators of the third millennium]. </w:t>
      </w:r>
      <w:proofErr w:type="spellStart"/>
      <w:r w:rsidRPr="009E0F3B">
        <w:rPr>
          <w:rFonts w:ascii="Cambria" w:hAnsi="Cambria"/>
          <w:i/>
          <w:iCs/>
          <w:sz w:val="24"/>
          <w:szCs w:val="24"/>
          <w:lang w:val="en-GB"/>
        </w:rPr>
        <w:t>Új</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Pedagógiai</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Szemle</w:t>
      </w:r>
      <w:proofErr w:type="spellEnd"/>
      <w:r w:rsidRPr="009E0F3B">
        <w:rPr>
          <w:rFonts w:ascii="Cambria" w:hAnsi="Cambria"/>
          <w:i/>
          <w:iCs/>
          <w:sz w:val="24"/>
          <w:szCs w:val="24"/>
          <w:lang w:val="en-GB"/>
        </w:rPr>
        <w:t>, 51</w:t>
      </w:r>
      <w:r w:rsidRPr="009E0F3B">
        <w:rPr>
          <w:rFonts w:ascii="Cambria" w:hAnsi="Cambria"/>
          <w:sz w:val="24"/>
          <w:szCs w:val="24"/>
          <w:lang w:val="en-GB"/>
        </w:rPr>
        <w:t>(9), 25–35.</w:t>
      </w:r>
    </w:p>
    <w:p w14:paraId="5ECBDED1" w14:textId="7BA5573A"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t>Hamachek</w:t>
      </w:r>
      <w:proofErr w:type="spellEnd"/>
      <w:r w:rsidRPr="009E0F3B">
        <w:rPr>
          <w:rFonts w:ascii="Cambria" w:hAnsi="Cambria"/>
          <w:sz w:val="24"/>
          <w:szCs w:val="24"/>
          <w:lang w:val="en-GB"/>
        </w:rPr>
        <w:t xml:space="preserve">, D. (1990). </w:t>
      </w:r>
      <w:r w:rsidRPr="009E0F3B">
        <w:rPr>
          <w:rFonts w:ascii="Cambria" w:hAnsi="Cambria"/>
          <w:i/>
          <w:iCs/>
          <w:sz w:val="24"/>
          <w:szCs w:val="24"/>
          <w:lang w:val="en-GB"/>
        </w:rPr>
        <w:t>Psychology in teaching, learning and growth</w:t>
      </w:r>
      <w:r w:rsidRPr="009E0F3B">
        <w:rPr>
          <w:rFonts w:ascii="Cambria" w:hAnsi="Cambria"/>
          <w:sz w:val="24"/>
          <w:szCs w:val="24"/>
          <w:lang w:val="en-GB"/>
        </w:rPr>
        <w:t xml:space="preserve"> (4th ed., pp. 391–424). </w:t>
      </w:r>
      <w:proofErr w:type="spellStart"/>
      <w:r w:rsidRPr="009E0F3B">
        <w:rPr>
          <w:rFonts w:ascii="Cambria" w:hAnsi="Cambria"/>
          <w:sz w:val="24"/>
          <w:szCs w:val="24"/>
          <w:lang w:val="en-GB"/>
        </w:rPr>
        <w:t>Allyn</w:t>
      </w:r>
      <w:proofErr w:type="spellEnd"/>
      <w:r w:rsidRPr="009E0F3B">
        <w:rPr>
          <w:rFonts w:ascii="Cambria" w:hAnsi="Cambria"/>
          <w:sz w:val="24"/>
          <w:szCs w:val="24"/>
          <w:lang w:val="en-GB"/>
        </w:rPr>
        <w:t xml:space="preserve"> and Bacon.</w:t>
      </w:r>
    </w:p>
    <w:p w14:paraId="7944795A" w14:textId="77777777"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lastRenderedPageBreak/>
        <w:t>Hercz</w:t>
      </w:r>
      <w:proofErr w:type="spellEnd"/>
      <w:r w:rsidRPr="009E0F3B">
        <w:rPr>
          <w:rFonts w:ascii="Cambria" w:hAnsi="Cambria"/>
          <w:sz w:val="24"/>
          <w:szCs w:val="24"/>
          <w:lang w:val="en-GB"/>
        </w:rPr>
        <w:t xml:space="preserve">, M., </w:t>
      </w:r>
      <w:proofErr w:type="spellStart"/>
      <w:r w:rsidRPr="009E0F3B">
        <w:rPr>
          <w:rFonts w:ascii="Cambria" w:hAnsi="Cambria"/>
          <w:sz w:val="24"/>
          <w:szCs w:val="24"/>
          <w:lang w:val="en-GB"/>
        </w:rPr>
        <w:t>Ráczné</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Oláh</w:t>
      </w:r>
      <w:proofErr w:type="spellEnd"/>
      <w:r w:rsidRPr="009E0F3B">
        <w:rPr>
          <w:rFonts w:ascii="Cambria" w:hAnsi="Cambria"/>
          <w:sz w:val="24"/>
          <w:szCs w:val="24"/>
          <w:lang w:val="en-GB"/>
        </w:rPr>
        <w:t xml:space="preserve">, E., &amp; </w:t>
      </w:r>
      <w:proofErr w:type="spellStart"/>
      <w:r w:rsidRPr="009E0F3B">
        <w:rPr>
          <w:rFonts w:ascii="Cambria" w:hAnsi="Cambria"/>
          <w:sz w:val="24"/>
          <w:szCs w:val="24"/>
          <w:lang w:val="en-GB"/>
        </w:rPr>
        <w:t>Takács</w:t>
      </w:r>
      <w:proofErr w:type="spellEnd"/>
      <w:r w:rsidRPr="009E0F3B">
        <w:rPr>
          <w:rFonts w:ascii="Cambria" w:hAnsi="Cambria"/>
          <w:sz w:val="24"/>
          <w:szCs w:val="24"/>
          <w:lang w:val="en-GB"/>
        </w:rPr>
        <w:t xml:space="preserve">, N. (2015). </w:t>
      </w:r>
      <w:proofErr w:type="spellStart"/>
      <w:r w:rsidRPr="009E0F3B">
        <w:rPr>
          <w:rFonts w:ascii="Cambria" w:hAnsi="Cambria"/>
          <w:i/>
          <w:iCs/>
          <w:sz w:val="24"/>
          <w:szCs w:val="24"/>
          <w:lang w:val="en-GB"/>
        </w:rPr>
        <w:t>Pályakezdő</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óvodapedagógusok</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túlélőkészlete</w:t>
      </w:r>
      <w:proofErr w:type="spellEnd"/>
      <w:r w:rsidRPr="009E0F3B">
        <w:rPr>
          <w:rFonts w:ascii="Cambria" w:hAnsi="Cambria"/>
          <w:sz w:val="24"/>
          <w:szCs w:val="24"/>
          <w:lang w:val="en-GB"/>
        </w:rPr>
        <w:t xml:space="preserve"> [Survival kit for early childhood teachers]. </w:t>
      </w:r>
      <w:proofErr w:type="spellStart"/>
      <w:r w:rsidRPr="009E0F3B">
        <w:rPr>
          <w:rFonts w:ascii="Cambria" w:hAnsi="Cambria"/>
          <w:sz w:val="24"/>
          <w:szCs w:val="24"/>
          <w:lang w:val="en-GB"/>
        </w:rPr>
        <w:t>Szegedi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Tudományegyetem</w:t>
      </w:r>
      <w:proofErr w:type="spellEnd"/>
      <w:r w:rsidRPr="009E0F3B">
        <w:rPr>
          <w:rFonts w:ascii="Cambria" w:hAnsi="Cambria"/>
          <w:sz w:val="24"/>
          <w:szCs w:val="24"/>
          <w:lang w:val="en-GB"/>
        </w:rPr>
        <w:t>.</w:t>
      </w:r>
    </w:p>
    <w:p w14:paraId="52F06CCD" w14:textId="77777777"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t>Imre</w:t>
      </w:r>
      <w:proofErr w:type="spellEnd"/>
      <w:r w:rsidRPr="009E0F3B">
        <w:rPr>
          <w:rFonts w:ascii="Cambria" w:hAnsi="Cambria"/>
          <w:sz w:val="24"/>
          <w:szCs w:val="24"/>
          <w:lang w:val="en-GB"/>
        </w:rPr>
        <w:t xml:space="preserve">, A. (1999). </w:t>
      </w:r>
      <w:proofErr w:type="spellStart"/>
      <w:r w:rsidRPr="009E0F3B">
        <w:rPr>
          <w:rFonts w:ascii="Cambria" w:hAnsi="Cambria"/>
          <w:sz w:val="24"/>
          <w:szCs w:val="24"/>
          <w:lang w:val="en-GB"/>
        </w:rPr>
        <w:t>Cigány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tanulók</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szakmunkásképző</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iskolákban</w:t>
      </w:r>
      <w:proofErr w:type="spellEnd"/>
      <w:r w:rsidRPr="009E0F3B">
        <w:rPr>
          <w:rFonts w:ascii="Cambria" w:hAnsi="Cambria"/>
          <w:sz w:val="24"/>
          <w:szCs w:val="24"/>
          <w:lang w:val="en-GB"/>
        </w:rPr>
        <w:t xml:space="preserve"> [Romani students in vocational schools]. </w:t>
      </w:r>
      <w:proofErr w:type="spellStart"/>
      <w:r w:rsidRPr="009E0F3B">
        <w:rPr>
          <w:rFonts w:ascii="Cambria" w:hAnsi="Cambria"/>
          <w:i/>
          <w:iCs/>
          <w:sz w:val="24"/>
          <w:szCs w:val="24"/>
          <w:lang w:val="en-GB"/>
        </w:rPr>
        <w:t>Educatio</w:t>
      </w:r>
      <w:proofErr w:type="spellEnd"/>
      <w:r w:rsidRPr="009E0F3B">
        <w:rPr>
          <w:rFonts w:ascii="Cambria" w:hAnsi="Cambria"/>
          <w:i/>
          <w:iCs/>
          <w:sz w:val="24"/>
          <w:szCs w:val="24"/>
          <w:lang w:val="en-GB"/>
        </w:rPr>
        <w:t>, 8</w:t>
      </w:r>
      <w:r w:rsidRPr="009E0F3B">
        <w:rPr>
          <w:rFonts w:ascii="Cambria" w:hAnsi="Cambria"/>
          <w:sz w:val="24"/>
          <w:szCs w:val="24"/>
          <w:lang w:val="en-GB"/>
        </w:rPr>
        <w:t>(2), 286–296.</w:t>
      </w:r>
    </w:p>
    <w:p w14:paraId="6C8ADF18"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Kirkpatrick, S. A., &amp; Locke, E. A. (1991). Leadership: Do traits matter? </w:t>
      </w:r>
      <w:r w:rsidRPr="009E0F3B">
        <w:rPr>
          <w:rFonts w:ascii="Cambria" w:hAnsi="Cambria"/>
          <w:i/>
          <w:iCs/>
          <w:sz w:val="24"/>
          <w:szCs w:val="24"/>
          <w:lang w:val="en-GB"/>
        </w:rPr>
        <w:t>Academy of Management Perspectives, 5</w:t>
      </w:r>
      <w:r w:rsidRPr="009E0F3B">
        <w:rPr>
          <w:rFonts w:ascii="Cambria" w:hAnsi="Cambria"/>
          <w:sz w:val="24"/>
          <w:szCs w:val="24"/>
          <w:lang w:val="en-GB"/>
        </w:rPr>
        <w:t>(2), 48–60.</w:t>
      </w:r>
    </w:p>
    <w:p w14:paraId="269D87C4"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Korthagen, F. A. J. (2004). In search of the essence of a good teacher: Towards a more holistic approach in teacher education. </w:t>
      </w:r>
      <w:r w:rsidRPr="009E0F3B">
        <w:rPr>
          <w:rFonts w:ascii="Cambria" w:hAnsi="Cambria"/>
          <w:i/>
          <w:iCs/>
          <w:sz w:val="24"/>
          <w:szCs w:val="24"/>
          <w:lang w:val="en-GB"/>
        </w:rPr>
        <w:t>Teaching and Teacher Education, 20</w:t>
      </w:r>
      <w:r w:rsidRPr="009E0F3B">
        <w:rPr>
          <w:rFonts w:ascii="Cambria" w:hAnsi="Cambria"/>
          <w:sz w:val="24"/>
          <w:szCs w:val="24"/>
          <w:lang w:val="en-GB"/>
        </w:rPr>
        <w:t>, 77–97.</w:t>
      </w:r>
    </w:p>
    <w:p w14:paraId="7DD5F2D7"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Lim, A. G. Y. (2023). Big Five personality traits: The five-factor model of personality. </w:t>
      </w:r>
      <w:r w:rsidRPr="009E0F3B">
        <w:rPr>
          <w:rFonts w:ascii="Cambria" w:hAnsi="Cambria"/>
          <w:i/>
          <w:iCs/>
          <w:sz w:val="24"/>
          <w:szCs w:val="24"/>
          <w:lang w:val="en-GB"/>
        </w:rPr>
        <w:t>Simply Psychology</w:t>
      </w:r>
      <w:r w:rsidRPr="009E0F3B">
        <w:rPr>
          <w:rFonts w:ascii="Cambria" w:hAnsi="Cambria"/>
          <w:sz w:val="24"/>
          <w:szCs w:val="24"/>
          <w:lang w:val="en-GB"/>
        </w:rPr>
        <w:t xml:space="preserve">. Retrieved March 30, 2024, from </w:t>
      </w:r>
      <w:hyperlink r:id="rId13" w:tgtFrame="_new" w:history="1">
        <w:r w:rsidRPr="009E0F3B">
          <w:rPr>
            <w:rStyle w:val="Hiperhivatkozs"/>
            <w:rFonts w:ascii="Cambria" w:hAnsi="Cambria"/>
            <w:sz w:val="24"/>
            <w:szCs w:val="24"/>
            <w:lang w:val="en-GB"/>
          </w:rPr>
          <w:t>https://www.simplypsychology.org/big-five-personality.html</w:t>
        </w:r>
      </w:hyperlink>
    </w:p>
    <w:p w14:paraId="13D21A85"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Little, B. R. (2017). </w:t>
      </w:r>
      <w:proofErr w:type="spellStart"/>
      <w:r w:rsidRPr="009E0F3B">
        <w:rPr>
          <w:rFonts w:ascii="Cambria" w:hAnsi="Cambria"/>
          <w:i/>
          <w:iCs/>
          <w:sz w:val="24"/>
          <w:szCs w:val="24"/>
          <w:lang w:val="en-GB"/>
        </w:rPr>
        <w:t>Én</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jómagam</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és</w:t>
      </w:r>
      <w:proofErr w:type="spellEnd"/>
      <w:r w:rsidRPr="009E0F3B">
        <w:rPr>
          <w:rFonts w:ascii="Cambria" w:hAnsi="Cambria"/>
          <w:i/>
          <w:iCs/>
          <w:sz w:val="24"/>
          <w:szCs w:val="24"/>
          <w:lang w:val="en-GB"/>
        </w:rPr>
        <w:t xml:space="preserve"> a </w:t>
      </w:r>
      <w:proofErr w:type="spellStart"/>
      <w:r w:rsidRPr="009E0F3B">
        <w:rPr>
          <w:rFonts w:ascii="Cambria" w:hAnsi="Cambria"/>
          <w:i/>
          <w:iCs/>
          <w:sz w:val="24"/>
          <w:szCs w:val="24"/>
          <w:lang w:val="en-GB"/>
        </w:rPr>
        <w:t>többiek</w:t>
      </w:r>
      <w:proofErr w:type="spellEnd"/>
      <w:r w:rsidRPr="009E0F3B">
        <w:rPr>
          <w:rFonts w:ascii="Cambria" w:hAnsi="Cambria"/>
          <w:sz w:val="24"/>
          <w:szCs w:val="24"/>
          <w:lang w:val="en-GB"/>
        </w:rPr>
        <w:t xml:space="preserve"> [Me, myself, and the others]. HVG </w:t>
      </w:r>
      <w:proofErr w:type="spellStart"/>
      <w:r w:rsidRPr="009E0F3B">
        <w:rPr>
          <w:rFonts w:ascii="Cambria" w:hAnsi="Cambria"/>
          <w:sz w:val="24"/>
          <w:szCs w:val="24"/>
          <w:lang w:val="en-GB"/>
        </w:rPr>
        <w:t>Könyvek</w:t>
      </w:r>
      <w:proofErr w:type="spellEnd"/>
      <w:r w:rsidRPr="009E0F3B">
        <w:rPr>
          <w:rFonts w:ascii="Cambria" w:hAnsi="Cambria"/>
          <w:sz w:val="24"/>
          <w:szCs w:val="24"/>
          <w:lang w:val="en-GB"/>
        </w:rPr>
        <w:t>.</w:t>
      </w:r>
    </w:p>
    <w:p w14:paraId="7E500FE4" w14:textId="77777777" w:rsidR="00C20C6D" w:rsidRPr="009E0F3B" w:rsidRDefault="00C20C6D" w:rsidP="00C20C6D">
      <w:pPr>
        <w:jc w:val="both"/>
        <w:rPr>
          <w:rFonts w:ascii="Cambria" w:hAnsi="Cambria"/>
          <w:sz w:val="24"/>
          <w:szCs w:val="24"/>
          <w:lang w:val="en-GB"/>
        </w:rPr>
      </w:pPr>
      <w:proofErr w:type="spellStart"/>
      <w:r w:rsidRPr="009E0F3B">
        <w:rPr>
          <w:rFonts w:ascii="Cambria" w:hAnsi="Cambria"/>
          <w:sz w:val="24"/>
          <w:szCs w:val="24"/>
          <w:lang w:val="en-GB"/>
        </w:rPr>
        <w:t>Málovics</w:t>
      </w:r>
      <w:proofErr w:type="spellEnd"/>
      <w:r w:rsidRPr="009E0F3B">
        <w:rPr>
          <w:rFonts w:ascii="Cambria" w:hAnsi="Cambria"/>
          <w:sz w:val="24"/>
          <w:szCs w:val="24"/>
          <w:lang w:val="en-GB"/>
        </w:rPr>
        <w:t xml:space="preserve">, É. (2020). </w:t>
      </w:r>
      <w:proofErr w:type="spellStart"/>
      <w:r w:rsidRPr="009E0F3B">
        <w:rPr>
          <w:rFonts w:ascii="Cambria" w:hAnsi="Cambria"/>
          <w:sz w:val="24"/>
          <w:szCs w:val="24"/>
          <w:lang w:val="en-GB"/>
        </w:rPr>
        <w:t>Vállalkozói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vonások</w:t>
      </w:r>
      <w:proofErr w:type="spellEnd"/>
      <w:r w:rsidRPr="009E0F3B">
        <w:rPr>
          <w:rFonts w:ascii="Cambria" w:hAnsi="Cambria"/>
          <w:sz w:val="24"/>
          <w:szCs w:val="24"/>
          <w:lang w:val="en-GB"/>
        </w:rPr>
        <w:t xml:space="preserve"> 1: </w:t>
      </w:r>
      <w:proofErr w:type="spellStart"/>
      <w:r w:rsidRPr="009E0F3B">
        <w:rPr>
          <w:rFonts w:ascii="Cambria" w:hAnsi="Cambria"/>
          <w:sz w:val="24"/>
          <w:szCs w:val="24"/>
          <w:lang w:val="en-GB"/>
        </w:rPr>
        <w:t>Személyiségvonások</w:t>
      </w:r>
      <w:proofErr w:type="spellEnd"/>
      <w:r w:rsidRPr="009E0F3B">
        <w:rPr>
          <w:rFonts w:ascii="Cambria" w:hAnsi="Cambria"/>
          <w:sz w:val="24"/>
          <w:szCs w:val="24"/>
          <w:lang w:val="en-GB"/>
        </w:rPr>
        <w:t>, Big Five [Entrepreneurial traits 1: Personality traits, Big Five]. University of Szeged.</w:t>
      </w:r>
    </w:p>
    <w:p w14:paraId="38E9ED7D"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N. </w:t>
      </w:r>
      <w:proofErr w:type="spellStart"/>
      <w:r w:rsidRPr="009E0F3B">
        <w:rPr>
          <w:rFonts w:ascii="Cambria" w:hAnsi="Cambria"/>
          <w:sz w:val="24"/>
          <w:szCs w:val="24"/>
          <w:lang w:val="en-GB"/>
        </w:rPr>
        <w:t>Kollár</w:t>
      </w:r>
      <w:proofErr w:type="spellEnd"/>
      <w:r w:rsidRPr="009E0F3B">
        <w:rPr>
          <w:rFonts w:ascii="Cambria" w:hAnsi="Cambria"/>
          <w:sz w:val="24"/>
          <w:szCs w:val="24"/>
          <w:lang w:val="en-GB"/>
        </w:rPr>
        <w:t xml:space="preserve">, K., &amp; </w:t>
      </w:r>
      <w:proofErr w:type="spellStart"/>
      <w:r w:rsidRPr="009E0F3B">
        <w:rPr>
          <w:rFonts w:ascii="Cambria" w:hAnsi="Cambria"/>
          <w:sz w:val="24"/>
          <w:szCs w:val="24"/>
          <w:lang w:val="en-GB"/>
        </w:rPr>
        <w:t>Szabó</w:t>
      </w:r>
      <w:proofErr w:type="spellEnd"/>
      <w:r w:rsidRPr="009E0F3B">
        <w:rPr>
          <w:rFonts w:ascii="Cambria" w:hAnsi="Cambria"/>
          <w:sz w:val="24"/>
          <w:szCs w:val="24"/>
          <w:lang w:val="en-GB"/>
        </w:rPr>
        <w:t xml:space="preserve">, É. (Eds.). (2004). </w:t>
      </w:r>
      <w:proofErr w:type="spellStart"/>
      <w:r w:rsidRPr="009E0F3B">
        <w:rPr>
          <w:rFonts w:ascii="Cambria" w:hAnsi="Cambria"/>
          <w:i/>
          <w:iCs/>
          <w:sz w:val="24"/>
          <w:szCs w:val="24"/>
          <w:lang w:val="en-GB"/>
        </w:rPr>
        <w:t>Pszichológia</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pedagógusoknak</w:t>
      </w:r>
      <w:proofErr w:type="spellEnd"/>
      <w:r w:rsidRPr="009E0F3B">
        <w:rPr>
          <w:rFonts w:ascii="Cambria" w:hAnsi="Cambria"/>
          <w:sz w:val="24"/>
          <w:szCs w:val="24"/>
          <w:lang w:val="en-GB"/>
        </w:rPr>
        <w:t xml:space="preserve"> [Psychology for educators]. Osiris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0148A0D7"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N. </w:t>
      </w:r>
      <w:proofErr w:type="spellStart"/>
      <w:r w:rsidRPr="009E0F3B">
        <w:rPr>
          <w:rFonts w:ascii="Cambria" w:hAnsi="Cambria"/>
          <w:sz w:val="24"/>
          <w:szCs w:val="24"/>
          <w:lang w:val="en-GB"/>
        </w:rPr>
        <w:t>Kollár</w:t>
      </w:r>
      <w:proofErr w:type="spellEnd"/>
      <w:r w:rsidRPr="009E0F3B">
        <w:rPr>
          <w:rFonts w:ascii="Cambria" w:hAnsi="Cambria"/>
          <w:sz w:val="24"/>
          <w:szCs w:val="24"/>
          <w:lang w:val="en-GB"/>
        </w:rPr>
        <w:t xml:space="preserve">, K. (2008). </w:t>
      </w:r>
      <w:proofErr w:type="spellStart"/>
      <w:r w:rsidRPr="009E0F3B">
        <w:rPr>
          <w:rFonts w:ascii="Cambria" w:hAnsi="Cambria"/>
          <w:sz w:val="24"/>
          <w:szCs w:val="24"/>
          <w:lang w:val="en-GB"/>
        </w:rPr>
        <w:t>Pedagógusok</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pályaképe</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tanárképzéssel</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való</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elégedettségük</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nehézségeik</w:t>
      </w:r>
      <w:proofErr w:type="spellEnd"/>
      <w:r w:rsidRPr="009E0F3B">
        <w:rPr>
          <w:rFonts w:ascii="Cambria" w:hAnsi="Cambria"/>
          <w:sz w:val="24"/>
          <w:szCs w:val="24"/>
          <w:lang w:val="en-GB"/>
        </w:rPr>
        <w:t xml:space="preserve"> [The career profile of teachers, their satisfaction with teacher training, and their challenges]. </w:t>
      </w:r>
      <w:proofErr w:type="spellStart"/>
      <w:r w:rsidRPr="009E0F3B">
        <w:rPr>
          <w:rFonts w:ascii="Cambria" w:hAnsi="Cambria"/>
          <w:i/>
          <w:iCs/>
          <w:sz w:val="24"/>
          <w:szCs w:val="24"/>
          <w:lang w:val="en-GB"/>
        </w:rPr>
        <w:t>Pedagógusképzés</w:t>
      </w:r>
      <w:proofErr w:type="spellEnd"/>
      <w:r w:rsidRPr="009E0F3B">
        <w:rPr>
          <w:rFonts w:ascii="Cambria" w:hAnsi="Cambria"/>
          <w:i/>
          <w:iCs/>
          <w:sz w:val="24"/>
          <w:szCs w:val="24"/>
          <w:lang w:val="en-GB"/>
        </w:rPr>
        <w:t>, 6</w:t>
      </w:r>
      <w:r w:rsidRPr="009E0F3B">
        <w:rPr>
          <w:rFonts w:ascii="Cambria" w:hAnsi="Cambria"/>
          <w:sz w:val="24"/>
          <w:szCs w:val="24"/>
          <w:lang w:val="en-GB"/>
        </w:rPr>
        <w:t>(35), 7–34.</w:t>
      </w:r>
    </w:p>
    <w:p w14:paraId="5A4F1612" w14:textId="77777777"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Peck, D., &amp; Whitlow, D. (1983). </w:t>
      </w:r>
      <w:proofErr w:type="spellStart"/>
      <w:r w:rsidRPr="009E0F3B">
        <w:rPr>
          <w:rFonts w:ascii="Cambria" w:hAnsi="Cambria"/>
          <w:i/>
          <w:iCs/>
          <w:sz w:val="24"/>
          <w:szCs w:val="24"/>
          <w:lang w:val="en-GB"/>
        </w:rPr>
        <w:t>Személyiségelméletek</w:t>
      </w:r>
      <w:proofErr w:type="spellEnd"/>
      <w:r w:rsidRPr="009E0F3B">
        <w:rPr>
          <w:rFonts w:ascii="Cambria" w:hAnsi="Cambria"/>
          <w:sz w:val="24"/>
          <w:szCs w:val="24"/>
          <w:lang w:val="en-GB"/>
        </w:rPr>
        <w:t xml:space="preserve"> [Theories on personality]. </w:t>
      </w:r>
      <w:proofErr w:type="spellStart"/>
      <w:r w:rsidRPr="009E0F3B">
        <w:rPr>
          <w:rFonts w:ascii="Cambria" w:hAnsi="Cambria"/>
          <w:sz w:val="24"/>
          <w:szCs w:val="24"/>
          <w:lang w:val="en-GB"/>
        </w:rPr>
        <w:t>Gondolat</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270E92B3" w14:textId="237BF9C1"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Schulze, R., &amp; Roberts, R. D. (2006). Assessing the Big Five: Development and validation of the Openness, Conscientiousness, Extraversion, Agreeableness, Neuroticism Index Condensed (OCEANIC). </w:t>
      </w:r>
      <w:proofErr w:type="spellStart"/>
      <w:r w:rsidRPr="009E0F3B">
        <w:rPr>
          <w:rFonts w:ascii="Cambria" w:hAnsi="Cambria"/>
          <w:i/>
          <w:iCs/>
          <w:sz w:val="24"/>
          <w:szCs w:val="24"/>
          <w:lang w:val="en-GB"/>
        </w:rPr>
        <w:t>Zeitschrift</w:t>
      </w:r>
      <w:proofErr w:type="spellEnd"/>
      <w:r w:rsidRPr="009E0F3B">
        <w:rPr>
          <w:rFonts w:ascii="Cambria" w:hAnsi="Cambria"/>
          <w:i/>
          <w:iCs/>
          <w:sz w:val="24"/>
          <w:szCs w:val="24"/>
          <w:lang w:val="en-GB"/>
        </w:rPr>
        <w:t xml:space="preserve"> für </w:t>
      </w:r>
      <w:proofErr w:type="spellStart"/>
      <w:r w:rsidRPr="009E0F3B">
        <w:rPr>
          <w:rFonts w:ascii="Cambria" w:hAnsi="Cambria"/>
          <w:i/>
          <w:iCs/>
          <w:sz w:val="24"/>
          <w:szCs w:val="24"/>
          <w:lang w:val="en-GB"/>
        </w:rPr>
        <w:t>Psychologie</w:t>
      </w:r>
      <w:proofErr w:type="spellEnd"/>
      <w:r w:rsidRPr="009E0F3B">
        <w:rPr>
          <w:rFonts w:ascii="Cambria" w:hAnsi="Cambria"/>
          <w:i/>
          <w:iCs/>
          <w:sz w:val="24"/>
          <w:szCs w:val="24"/>
          <w:lang w:val="en-GB"/>
        </w:rPr>
        <w:t>, 214</w:t>
      </w:r>
      <w:r w:rsidRPr="009E0F3B">
        <w:rPr>
          <w:rFonts w:ascii="Cambria" w:hAnsi="Cambria"/>
          <w:sz w:val="24"/>
          <w:szCs w:val="24"/>
          <w:lang w:val="en-GB"/>
        </w:rPr>
        <w:t>, 133–149.</w:t>
      </w:r>
    </w:p>
    <w:p w14:paraId="66291FD4" w14:textId="2234F18F" w:rsidR="00C20C6D" w:rsidRPr="009E0F3B" w:rsidRDefault="00C20C6D" w:rsidP="00C20C6D">
      <w:pPr>
        <w:jc w:val="both"/>
        <w:rPr>
          <w:rFonts w:ascii="Cambria" w:hAnsi="Cambria"/>
          <w:sz w:val="24"/>
          <w:szCs w:val="24"/>
          <w:lang w:val="en-GB"/>
        </w:rPr>
      </w:pPr>
      <w:r w:rsidRPr="009E0F3B">
        <w:rPr>
          <w:rFonts w:ascii="Cambria" w:hAnsi="Cambria"/>
          <w:sz w:val="24"/>
          <w:szCs w:val="24"/>
          <w:lang w:val="en-GB"/>
        </w:rPr>
        <w:t xml:space="preserve">Soto, C., et al. (2018). Five-factor model of personality. </w:t>
      </w:r>
      <w:r w:rsidRPr="009E0F3B">
        <w:rPr>
          <w:rFonts w:ascii="Cambria" w:hAnsi="Cambria"/>
          <w:i/>
          <w:iCs/>
          <w:sz w:val="24"/>
          <w:szCs w:val="24"/>
          <w:lang w:val="en-GB"/>
        </w:rPr>
        <w:t>Oxford Bibliographies</w:t>
      </w:r>
      <w:r w:rsidRPr="009E0F3B">
        <w:rPr>
          <w:rFonts w:ascii="Cambria" w:hAnsi="Cambria"/>
          <w:sz w:val="24"/>
          <w:szCs w:val="24"/>
          <w:lang w:val="en-GB"/>
        </w:rPr>
        <w:t>. Retrieved March 31, 2024, from https://www.oxfordbibliographies.com/view/document/obo-9780199828340/obo-9780199828340-0120.xml</w:t>
      </w:r>
    </w:p>
    <w:p w14:paraId="6593C95B" w14:textId="2B21B7BB" w:rsidR="009923C3" w:rsidRPr="009E0F3B" w:rsidRDefault="009923C3" w:rsidP="009923C3">
      <w:pPr>
        <w:jc w:val="both"/>
        <w:rPr>
          <w:rFonts w:ascii="Cambria" w:hAnsi="Cambria"/>
          <w:sz w:val="24"/>
          <w:szCs w:val="24"/>
          <w:lang w:val="en-GB"/>
        </w:rPr>
      </w:pPr>
      <w:proofErr w:type="spellStart"/>
      <w:r w:rsidRPr="009E0F3B">
        <w:rPr>
          <w:rFonts w:ascii="Cambria" w:hAnsi="Cambria"/>
          <w:sz w:val="24"/>
          <w:szCs w:val="24"/>
          <w:lang w:val="en-GB"/>
        </w:rPr>
        <w:t>Szabó</w:t>
      </w:r>
      <w:proofErr w:type="spellEnd"/>
      <w:r w:rsidRPr="009E0F3B">
        <w:rPr>
          <w:rFonts w:ascii="Cambria" w:hAnsi="Cambria"/>
          <w:sz w:val="24"/>
          <w:szCs w:val="24"/>
          <w:lang w:val="en-GB"/>
        </w:rPr>
        <w:t>, É. (1999). A „</w:t>
      </w:r>
      <w:proofErr w:type="spellStart"/>
      <w:r w:rsidRPr="009E0F3B">
        <w:rPr>
          <w:rFonts w:ascii="Cambria" w:hAnsi="Cambria"/>
          <w:sz w:val="24"/>
          <w:szCs w:val="24"/>
          <w:lang w:val="en-GB"/>
        </w:rPr>
        <w:t>kedves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az</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okos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gonosz</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avagy</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kedvelt</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nem</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kedvelt</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tanár</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képének</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jellemzői</w:t>
      </w:r>
      <w:proofErr w:type="spellEnd"/>
      <w:r w:rsidRPr="009E0F3B">
        <w:rPr>
          <w:rFonts w:ascii="Cambria" w:hAnsi="Cambria"/>
          <w:sz w:val="24"/>
          <w:szCs w:val="24"/>
          <w:lang w:val="en-GB"/>
        </w:rPr>
        <w:t xml:space="preserve"> [Characteristics of the image of the "nice", the "clever", and the "evil", or the liked and disliked teacher]. </w:t>
      </w:r>
      <w:proofErr w:type="spellStart"/>
      <w:r w:rsidRPr="009E0F3B">
        <w:rPr>
          <w:rFonts w:ascii="Cambria" w:hAnsi="Cambria"/>
          <w:i/>
          <w:iCs/>
          <w:sz w:val="24"/>
          <w:szCs w:val="24"/>
          <w:lang w:val="en-GB"/>
        </w:rPr>
        <w:t>Alkalmazott</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Pszichológia</w:t>
      </w:r>
      <w:proofErr w:type="spellEnd"/>
      <w:r w:rsidRPr="009E0F3B">
        <w:rPr>
          <w:rFonts w:ascii="Cambria" w:hAnsi="Cambria"/>
          <w:i/>
          <w:iCs/>
          <w:sz w:val="24"/>
          <w:szCs w:val="24"/>
          <w:lang w:val="en-GB"/>
        </w:rPr>
        <w:t>, 1</w:t>
      </w:r>
      <w:r w:rsidRPr="009E0F3B">
        <w:rPr>
          <w:rFonts w:ascii="Cambria" w:hAnsi="Cambria"/>
          <w:sz w:val="24"/>
          <w:szCs w:val="24"/>
          <w:lang w:val="en-GB"/>
        </w:rPr>
        <w:t>, 31-41.</w:t>
      </w:r>
    </w:p>
    <w:p w14:paraId="71A09201" w14:textId="609816E1" w:rsidR="009923C3" w:rsidRPr="009E0F3B" w:rsidRDefault="009923C3" w:rsidP="009923C3">
      <w:pPr>
        <w:jc w:val="both"/>
        <w:rPr>
          <w:rFonts w:ascii="Cambria" w:hAnsi="Cambria"/>
          <w:sz w:val="24"/>
          <w:szCs w:val="24"/>
          <w:lang w:val="en-GB"/>
        </w:rPr>
      </w:pPr>
      <w:proofErr w:type="spellStart"/>
      <w:r w:rsidRPr="009E0F3B">
        <w:rPr>
          <w:rFonts w:ascii="Cambria" w:hAnsi="Cambria"/>
          <w:sz w:val="24"/>
          <w:szCs w:val="24"/>
          <w:lang w:val="en-GB"/>
        </w:rPr>
        <w:t>Szabó</w:t>
      </w:r>
      <w:proofErr w:type="spellEnd"/>
      <w:r w:rsidRPr="009E0F3B">
        <w:rPr>
          <w:rFonts w:ascii="Cambria" w:hAnsi="Cambria"/>
          <w:sz w:val="24"/>
          <w:szCs w:val="24"/>
          <w:lang w:val="en-GB"/>
        </w:rPr>
        <w:t xml:space="preserve">, É., </w:t>
      </w:r>
      <w:proofErr w:type="spellStart"/>
      <w:r w:rsidRPr="009E0F3B">
        <w:rPr>
          <w:rFonts w:ascii="Cambria" w:hAnsi="Cambria"/>
          <w:sz w:val="24"/>
          <w:szCs w:val="24"/>
          <w:lang w:val="en-GB"/>
        </w:rPr>
        <w:t>Kollár</w:t>
      </w:r>
      <w:proofErr w:type="spellEnd"/>
      <w:r w:rsidRPr="009E0F3B">
        <w:rPr>
          <w:rFonts w:ascii="Cambria" w:hAnsi="Cambria"/>
          <w:sz w:val="24"/>
          <w:szCs w:val="24"/>
          <w:lang w:val="en-GB"/>
        </w:rPr>
        <w:t xml:space="preserve">, K. N., &amp; </w:t>
      </w:r>
      <w:proofErr w:type="spellStart"/>
      <w:r w:rsidRPr="009E0F3B">
        <w:rPr>
          <w:rFonts w:ascii="Cambria" w:hAnsi="Cambria"/>
          <w:sz w:val="24"/>
          <w:szCs w:val="24"/>
          <w:lang w:val="en-GB"/>
        </w:rPr>
        <w:t>Vörös</w:t>
      </w:r>
      <w:proofErr w:type="spellEnd"/>
      <w:r w:rsidRPr="009E0F3B">
        <w:rPr>
          <w:rFonts w:ascii="Cambria" w:hAnsi="Cambria"/>
          <w:sz w:val="24"/>
          <w:szCs w:val="24"/>
          <w:lang w:val="en-GB"/>
        </w:rPr>
        <w:t xml:space="preserve">, A. (2017). A </w:t>
      </w:r>
      <w:proofErr w:type="spellStart"/>
      <w:r w:rsidRPr="009E0F3B">
        <w:rPr>
          <w:rFonts w:ascii="Cambria" w:hAnsi="Cambria"/>
          <w:sz w:val="24"/>
          <w:szCs w:val="24"/>
          <w:lang w:val="en-GB"/>
        </w:rPr>
        <w:t>tanári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szerep</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vezetés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a </w:t>
      </w:r>
      <w:proofErr w:type="spellStart"/>
      <w:r w:rsidRPr="009E0F3B">
        <w:rPr>
          <w:rFonts w:ascii="Cambria" w:hAnsi="Cambria"/>
          <w:sz w:val="24"/>
          <w:szCs w:val="24"/>
          <w:lang w:val="en-GB"/>
        </w:rPr>
        <w:t>tekintély</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problémái</w:t>
      </w:r>
      <w:proofErr w:type="spellEnd"/>
      <w:r w:rsidRPr="009E0F3B">
        <w:rPr>
          <w:rFonts w:ascii="Cambria" w:hAnsi="Cambria"/>
          <w:sz w:val="24"/>
          <w:szCs w:val="24"/>
          <w:lang w:val="en-GB"/>
        </w:rPr>
        <w:t xml:space="preserve"> [The problems of the teacher role, leadership, and authority]. In K. J. Tibor (Ed.), </w:t>
      </w:r>
      <w:proofErr w:type="spellStart"/>
      <w:r w:rsidRPr="009E0F3B">
        <w:rPr>
          <w:rFonts w:ascii="Cambria" w:hAnsi="Cambria"/>
          <w:i/>
          <w:iCs/>
          <w:sz w:val="24"/>
          <w:szCs w:val="24"/>
          <w:lang w:val="en-GB"/>
        </w:rPr>
        <w:t>Pedagógusok</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pszichológiai</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kézikönyve</w:t>
      </w:r>
      <w:proofErr w:type="spellEnd"/>
      <w:r w:rsidRPr="009E0F3B">
        <w:rPr>
          <w:rFonts w:ascii="Cambria" w:hAnsi="Cambria"/>
          <w:i/>
          <w:iCs/>
          <w:sz w:val="24"/>
          <w:szCs w:val="24"/>
          <w:lang w:val="en-GB"/>
        </w:rPr>
        <w:t xml:space="preserve"> 2</w:t>
      </w:r>
      <w:r w:rsidRPr="009E0F3B">
        <w:rPr>
          <w:rFonts w:ascii="Cambria" w:hAnsi="Cambria"/>
          <w:sz w:val="24"/>
          <w:szCs w:val="24"/>
          <w:lang w:val="en-GB"/>
        </w:rPr>
        <w:t xml:space="preserve"> (pp. 407-454). Osiris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380E2A6C" w14:textId="2ACE61E1" w:rsidR="009923C3" w:rsidRPr="009E0F3B" w:rsidRDefault="009923C3" w:rsidP="009923C3">
      <w:pPr>
        <w:jc w:val="both"/>
        <w:rPr>
          <w:rFonts w:ascii="Cambria" w:hAnsi="Cambria"/>
          <w:sz w:val="24"/>
          <w:szCs w:val="24"/>
          <w:lang w:val="en-GB"/>
        </w:rPr>
      </w:pPr>
      <w:proofErr w:type="spellStart"/>
      <w:r w:rsidRPr="009E0F3B">
        <w:rPr>
          <w:rFonts w:ascii="Cambria" w:hAnsi="Cambria"/>
          <w:sz w:val="24"/>
          <w:szCs w:val="24"/>
          <w:lang w:val="en-GB"/>
        </w:rPr>
        <w:t>Szebeni</w:t>
      </w:r>
      <w:proofErr w:type="spellEnd"/>
      <w:r w:rsidRPr="009E0F3B">
        <w:rPr>
          <w:rFonts w:ascii="Cambria" w:hAnsi="Cambria"/>
          <w:sz w:val="24"/>
          <w:szCs w:val="24"/>
          <w:lang w:val="en-GB"/>
        </w:rPr>
        <w:t xml:space="preserve">, R. (2010). A </w:t>
      </w:r>
      <w:proofErr w:type="spellStart"/>
      <w:r w:rsidRPr="009E0F3B">
        <w:rPr>
          <w:rFonts w:ascii="Cambria" w:hAnsi="Cambria"/>
          <w:sz w:val="24"/>
          <w:szCs w:val="24"/>
          <w:lang w:val="en-GB"/>
        </w:rPr>
        <w:t>kompetencia</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alapú</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oktatás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pedagógus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személyiség</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háttere</w:t>
      </w:r>
      <w:proofErr w:type="spellEnd"/>
      <w:r w:rsidRPr="009E0F3B">
        <w:rPr>
          <w:rFonts w:ascii="Cambria" w:hAnsi="Cambria"/>
          <w:sz w:val="24"/>
          <w:szCs w:val="24"/>
          <w:lang w:val="en-GB"/>
        </w:rPr>
        <w:t xml:space="preserve"> [The teacher’s personality background for competence-based education] [Doctoral dissertation]. University of Debrecen.</w:t>
      </w:r>
    </w:p>
    <w:p w14:paraId="127E4708" w14:textId="504E6061" w:rsidR="009923C3" w:rsidRPr="009E0F3B" w:rsidRDefault="009923C3" w:rsidP="009923C3">
      <w:pPr>
        <w:jc w:val="both"/>
        <w:rPr>
          <w:rFonts w:ascii="Cambria" w:hAnsi="Cambria"/>
          <w:sz w:val="24"/>
          <w:szCs w:val="24"/>
          <w:lang w:val="en-GB"/>
        </w:rPr>
      </w:pPr>
      <w:proofErr w:type="spellStart"/>
      <w:r w:rsidRPr="009E0F3B">
        <w:rPr>
          <w:rFonts w:ascii="Cambria" w:hAnsi="Cambria"/>
          <w:sz w:val="24"/>
          <w:szCs w:val="24"/>
          <w:lang w:val="en-GB"/>
        </w:rPr>
        <w:t>Tóth</w:t>
      </w:r>
      <w:proofErr w:type="spellEnd"/>
      <w:r w:rsidRPr="009E0F3B">
        <w:rPr>
          <w:rFonts w:ascii="Cambria" w:hAnsi="Cambria"/>
          <w:sz w:val="24"/>
          <w:szCs w:val="24"/>
          <w:lang w:val="en-GB"/>
        </w:rPr>
        <w:t xml:space="preserve">, A. (1985). A </w:t>
      </w:r>
      <w:proofErr w:type="spellStart"/>
      <w:r w:rsidRPr="009E0F3B">
        <w:rPr>
          <w:rFonts w:ascii="Cambria" w:hAnsi="Cambria"/>
          <w:sz w:val="24"/>
          <w:szCs w:val="24"/>
          <w:lang w:val="en-GB"/>
        </w:rPr>
        <w:t>pedagógiai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vezetés</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stílusa</w:t>
      </w:r>
      <w:proofErr w:type="spellEnd"/>
      <w:r w:rsidRPr="009E0F3B">
        <w:rPr>
          <w:rFonts w:ascii="Cambria" w:hAnsi="Cambria"/>
          <w:sz w:val="24"/>
          <w:szCs w:val="24"/>
          <w:lang w:val="en-GB"/>
        </w:rPr>
        <w:t xml:space="preserve"> [The style of pedagogical leadership]. </w:t>
      </w:r>
      <w:proofErr w:type="spellStart"/>
      <w:r w:rsidRPr="009E0F3B">
        <w:rPr>
          <w:rFonts w:ascii="Cambria" w:hAnsi="Cambria"/>
          <w:sz w:val="24"/>
          <w:szCs w:val="24"/>
          <w:lang w:val="en-GB"/>
        </w:rPr>
        <w:t>Akadémiai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Kiadó</w:t>
      </w:r>
      <w:proofErr w:type="spellEnd"/>
      <w:r w:rsidRPr="009E0F3B">
        <w:rPr>
          <w:rFonts w:ascii="Cambria" w:hAnsi="Cambria"/>
          <w:sz w:val="24"/>
          <w:szCs w:val="24"/>
          <w:lang w:val="en-GB"/>
        </w:rPr>
        <w:t>.</w:t>
      </w:r>
    </w:p>
    <w:p w14:paraId="37BD2FB2" w14:textId="79DFA327" w:rsidR="009923C3" w:rsidRPr="009E0F3B" w:rsidRDefault="009923C3" w:rsidP="009923C3">
      <w:pPr>
        <w:jc w:val="both"/>
        <w:rPr>
          <w:rFonts w:ascii="Cambria" w:hAnsi="Cambria"/>
          <w:sz w:val="24"/>
          <w:szCs w:val="24"/>
          <w:lang w:val="en-GB"/>
        </w:rPr>
      </w:pPr>
      <w:proofErr w:type="spellStart"/>
      <w:r w:rsidRPr="009E0F3B">
        <w:rPr>
          <w:rFonts w:ascii="Cambria" w:hAnsi="Cambria"/>
          <w:sz w:val="24"/>
          <w:szCs w:val="24"/>
          <w:lang w:val="en-GB"/>
        </w:rPr>
        <w:lastRenderedPageBreak/>
        <w:t>Törő</w:t>
      </w:r>
      <w:proofErr w:type="spellEnd"/>
      <w:r w:rsidRPr="009E0F3B">
        <w:rPr>
          <w:rFonts w:ascii="Cambria" w:hAnsi="Cambria"/>
          <w:sz w:val="24"/>
          <w:szCs w:val="24"/>
          <w:lang w:val="en-GB"/>
        </w:rPr>
        <w:t xml:space="preserve">, K., </w:t>
      </w:r>
      <w:proofErr w:type="spellStart"/>
      <w:r w:rsidRPr="009E0F3B">
        <w:rPr>
          <w:rFonts w:ascii="Cambria" w:hAnsi="Cambria"/>
          <w:sz w:val="24"/>
          <w:szCs w:val="24"/>
          <w:lang w:val="en-GB"/>
        </w:rPr>
        <w:t>Mokos</w:t>
      </w:r>
      <w:proofErr w:type="spellEnd"/>
      <w:r w:rsidRPr="009E0F3B">
        <w:rPr>
          <w:rFonts w:ascii="Cambria" w:hAnsi="Cambria"/>
          <w:sz w:val="24"/>
          <w:szCs w:val="24"/>
          <w:lang w:val="en-GB"/>
        </w:rPr>
        <w:t xml:space="preserve">, J., </w:t>
      </w:r>
      <w:proofErr w:type="spellStart"/>
      <w:r w:rsidRPr="009E0F3B">
        <w:rPr>
          <w:rFonts w:ascii="Cambria" w:hAnsi="Cambria"/>
          <w:sz w:val="24"/>
          <w:szCs w:val="24"/>
          <w:lang w:val="en-GB"/>
        </w:rPr>
        <w:t>Róth</w:t>
      </w:r>
      <w:proofErr w:type="spellEnd"/>
      <w:r w:rsidRPr="009E0F3B">
        <w:rPr>
          <w:rFonts w:ascii="Cambria" w:hAnsi="Cambria"/>
          <w:sz w:val="24"/>
          <w:szCs w:val="24"/>
          <w:lang w:val="en-GB"/>
        </w:rPr>
        <w:t xml:space="preserve">, E., &amp; </w:t>
      </w:r>
      <w:proofErr w:type="spellStart"/>
      <w:r w:rsidRPr="009E0F3B">
        <w:rPr>
          <w:rFonts w:ascii="Cambria" w:hAnsi="Cambria"/>
          <w:sz w:val="24"/>
          <w:szCs w:val="24"/>
          <w:lang w:val="en-GB"/>
        </w:rPr>
        <w:t>Csikós</w:t>
      </w:r>
      <w:proofErr w:type="spellEnd"/>
      <w:r w:rsidRPr="009E0F3B">
        <w:rPr>
          <w:rFonts w:ascii="Cambria" w:hAnsi="Cambria"/>
          <w:sz w:val="24"/>
          <w:szCs w:val="24"/>
          <w:lang w:val="en-GB"/>
        </w:rPr>
        <w:t xml:space="preserve">, G. (2020). A </w:t>
      </w:r>
      <w:proofErr w:type="spellStart"/>
      <w:r w:rsidRPr="009E0F3B">
        <w:rPr>
          <w:rFonts w:ascii="Cambria" w:hAnsi="Cambria"/>
          <w:sz w:val="24"/>
          <w:szCs w:val="24"/>
          <w:lang w:val="en-GB"/>
        </w:rPr>
        <w:t>stressz</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mértéke</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és</w:t>
      </w:r>
      <w:proofErr w:type="spellEnd"/>
      <w:r w:rsidRPr="009E0F3B">
        <w:rPr>
          <w:rFonts w:ascii="Cambria" w:hAnsi="Cambria"/>
          <w:sz w:val="24"/>
          <w:szCs w:val="24"/>
          <w:lang w:val="en-GB"/>
        </w:rPr>
        <w:t xml:space="preserve"> a Big Five </w:t>
      </w:r>
      <w:proofErr w:type="spellStart"/>
      <w:r w:rsidRPr="009E0F3B">
        <w:rPr>
          <w:rFonts w:ascii="Cambria" w:hAnsi="Cambria"/>
          <w:sz w:val="24"/>
          <w:szCs w:val="24"/>
          <w:lang w:val="en-GB"/>
        </w:rPr>
        <w:t>személyiség</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faktorok</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kapcsolata</w:t>
      </w:r>
      <w:proofErr w:type="spellEnd"/>
      <w:r w:rsidRPr="009E0F3B">
        <w:rPr>
          <w:rFonts w:ascii="Cambria" w:hAnsi="Cambria"/>
          <w:sz w:val="24"/>
          <w:szCs w:val="24"/>
          <w:lang w:val="en-GB"/>
        </w:rPr>
        <w:t xml:space="preserve"> a Covid-19 </w:t>
      </w:r>
      <w:proofErr w:type="spellStart"/>
      <w:r w:rsidRPr="009E0F3B">
        <w:rPr>
          <w:rFonts w:ascii="Cambria" w:hAnsi="Cambria"/>
          <w:sz w:val="24"/>
          <w:szCs w:val="24"/>
          <w:lang w:val="en-GB"/>
        </w:rPr>
        <w:t>őszi</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hullám</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alatt</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magyar</w:t>
      </w:r>
      <w:proofErr w:type="spellEnd"/>
      <w:r w:rsidRPr="009E0F3B">
        <w:rPr>
          <w:rFonts w:ascii="Cambria" w:hAnsi="Cambria"/>
          <w:sz w:val="24"/>
          <w:szCs w:val="24"/>
          <w:lang w:val="en-GB"/>
        </w:rPr>
        <w:t xml:space="preserve"> </w:t>
      </w:r>
      <w:proofErr w:type="spellStart"/>
      <w:r w:rsidRPr="009E0F3B">
        <w:rPr>
          <w:rFonts w:ascii="Cambria" w:hAnsi="Cambria"/>
          <w:sz w:val="24"/>
          <w:szCs w:val="24"/>
          <w:lang w:val="en-GB"/>
        </w:rPr>
        <w:t>serdülőkben</w:t>
      </w:r>
      <w:proofErr w:type="spellEnd"/>
      <w:r w:rsidRPr="009E0F3B">
        <w:rPr>
          <w:rFonts w:ascii="Cambria" w:hAnsi="Cambria"/>
          <w:sz w:val="24"/>
          <w:szCs w:val="24"/>
          <w:lang w:val="en-GB"/>
        </w:rPr>
        <w:t xml:space="preserve"> [The relationship between stress levels and the Big Five personality factors in Hungarian adolescents during the autumn wave of Covid-19]. </w:t>
      </w:r>
      <w:proofErr w:type="spellStart"/>
      <w:r w:rsidRPr="009E0F3B">
        <w:rPr>
          <w:rFonts w:ascii="Cambria" w:hAnsi="Cambria"/>
          <w:i/>
          <w:iCs/>
          <w:sz w:val="24"/>
          <w:szCs w:val="24"/>
          <w:lang w:val="en-GB"/>
        </w:rPr>
        <w:t>Psychologia</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Hungarica</w:t>
      </w:r>
      <w:proofErr w:type="spellEnd"/>
      <w:r w:rsidRPr="009E0F3B">
        <w:rPr>
          <w:rFonts w:ascii="Cambria" w:hAnsi="Cambria"/>
          <w:i/>
          <w:iCs/>
          <w:sz w:val="24"/>
          <w:szCs w:val="24"/>
          <w:lang w:val="en-GB"/>
        </w:rPr>
        <w:t xml:space="preserve"> </w:t>
      </w:r>
      <w:proofErr w:type="spellStart"/>
      <w:r w:rsidRPr="009E0F3B">
        <w:rPr>
          <w:rFonts w:ascii="Cambria" w:hAnsi="Cambria"/>
          <w:i/>
          <w:iCs/>
          <w:sz w:val="24"/>
          <w:szCs w:val="24"/>
          <w:lang w:val="en-GB"/>
        </w:rPr>
        <w:t>Caroliensis</w:t>
      </w:r>
      <w:proofErr w:type="spellEnd"/>
      <w:r w:rsidRPr="009E0F3B">
        <w:rPr>
          <w:rFonts w:ascii="Cambria" w:hAnsi="Cambria"/>
          <w:i/>
          <w:iCs/>
          <w:sz w:val="24"/>
          <w:szCs w:val="24"/>
          <w:lang w:val="en-GB"/>
        </w:rPr>
        <w:t>, 8</w:t>
      </w:r>
      <w:r w:rsidRPr="009E0F3B">
        <w:rPr>
          <w:rFonts w:ascii="Cambria" w:hAnsi="Cambria"/>
          <w:sz w:val="24"/>
          <w:szCs w:val="24"/>
          <w:lang w:val="en-GB"/>
        </w:rPr>
        <w:t>(3), 83-94.</w:t>
      </w:r>
    </w:p>
    <w:p w14:paraId="32850DBA" w14:textId="6CFF4147" w:rsidR="003D0710" w:rsidRPr="009E0F3B" w:rsidRDefault="00D26AF0" w:rsidP="00F20BAC">
      <w:pPr>
        <w:jc w:val="both"/>
        <w:rPr>
          <w:rFonts w:ascii="Cambria" w:hAnsi="Cambria"/>
          <w:sz w:val="24"/>
          <w:szCs w:val="24"/>
          <w:lang w:val="en-GB"/>
        </w:rPr>
      </w:pPr>
      <w:proofErr w:type="spellStart"/>
      <w:r w:rsidRPr="009E0F3B">
        <w:rPr>
          <w:rFonts w:ascii="Cambria" w:hAnsi="Cambria"/>
          <w:bCs/>
          <w:sz w:val="24"/>
          <w:szCs w:val="24"/>
          <w:lang w:val="en-GB"/>
        </w:rPr>
        <w:t>Žemlič</w:t>
      </w:r>
      <w:r w:rsidR="009923C3" w:rsidRPr="009E0F3B">
        <w:rPr>
          <w:rFonts w:ascii="Cambria" w:hAnsi="Cambria"/>
          <w:bCs/>
          <w:sz w:val="24"/>
          <w:szCs w:val="24"/>
          <w:lang w:val="en-GB"/>
        </w:rPr>
        <w:t>ka</w:t>
      </w:r>
      <w:proofErr w:type="spellEnd"/>
      <w:r w:rsidR="009923C3" w:rsidRPr="009E0F3B">
        <w:rPr>
          <w:rFonts w:ascii="Cambria" w:hAnsi="Cambria"/>
          <w:bCs/>
          <w:sz w:val="24"/>
          <w:szCs w:val="24"/>
          <w:lang w:val="en-GB"/>
        </w:rPr>
        <w:t xml:space="preserve">, A., &amp; </w:t>
      </w:r>
      <w:proofErr w:type="spellStart"/>
      <w:r w:rsidR="009923C3" w:rsidRPr="009E0F3B">
        <w:rPr>
          <w:rFonts w:ascii="Cambria" w:hAnsi="Cambria"/>
          <w:bCs/>
          <w:sz w:val="24"/>
          <w:szCs w:val="24"/>
          <w:lang w:val="en-GB"/>
        </w:rPr>
        <w:t>Szabó</w:t>
      </w:r>
      <w:proofErr w:type="spellEnd"/>
      <w:r w:rsidR="009923C3" w:rsidRPr="009E0F3B">
        <w:rPr>
          <w:rFonts w:ascii="Cambria" w:hAnsi="Cambria"/>
          <w:bCs/>
          <w:sz w:val="24"/>
          <w:szCs w:val="24"/>
          <w:lang w:val="en-GB"/>
        </w:rPr>
        <w:t>, L. D.</w:t>
      </w:r>
      <w:r w:rsidR="009923C3" w:rsidRPr="009E0F3B">
        <w:rPr>
          <w:rFonts w:ascii="Cambria" w:hAnsi="Cambria"/>
          <w:sz w:val="24"/>
          <w:szCs w:val="24"/>
          <w:lang w:val="en-GB"/>
        </w:rPr>
        <w:t xml:space="preserve"> (2024). </w:t>
      </w:r>
      <w:proofErr w:type="spellStart"/>
      <w:r w:rsidR="009923C3" w:rsidRPr="009E0F3B">
        <w:rPr>
          <w:rFonts w:ascii="Cambria" w:hAnsi="Cambria"/>
          <w:sz w:val="24"/>
          <w:szCs w:val="24"/>
          <w:lang w:val="en-GB"/>
        </w:rPr>
        <w:t>Kárpát-medencei</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egyetemi</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hallgatók</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tanári</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tekintélyről</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vallott</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nézetei</w:t>
      </w:r>
      <w:proofErr w:type="spellEnd"/>
      <w:r w:rsidR="009923C3" w:rsidRPr="009E0F3B">
        <w:rPr>
          <w:rFonts w:ascii="Cambria" w:hAnsi="Cambria"/>
          <w:sz w:val="24"/>
          <w:szCs w:val="24"/>
          <w:lang w:val="en-GB"/>
        </w:rPr>
        <w:t xml:space="preserve"> [University </w:t>
      </w:r>
      <w:proofErr w:type="gramStart"/>
      <w:r w:rsidR="009923C3" w:rsidRPr="009E0F3B">
        <w:rPr>
          <w:rFonts w:ascii="Cambria" w:hAnsi="Cambria"/>
          <w:sz w:val="24"/>
          <w:szCs w:val="24"/>
          <w:lang w:val="en-GB"/>
        </w:rPr>
        <w:t>students‘</w:t>
      </w:r>
      <w:r w:rsidR="008766EB">
        <w:rPr>
          <w:rFonts w:ascii="Cambria" w:hAnsi="Cambria"/>
          <w:sz w:val="24"/>
          <w:szCs w:val="24"/>
          <w:lang w:val="en-GB"/>
        </w:rPr>
        <w:t xml:space="preserve"> </w:t>
      </w:r>
      <w:r w:rsidR="009923C3" w:rsidRPr="009E0F3B">
        <w:rPr>
          <w:rFonts w:ascii="Cambria" w:hAnsi="Cambria"/>
          <w:sz w:val="24"/>
          <w:szCs w:val="24"/>
          <w:lang w:val="en-GB"/>
        </w:rPr>
        <w:t>views</w:t>
      </w:r>
      <w:proofErr w:type="gramEnd"/>
      <w:r w:rsidR="009923C3" w:rsidRPr="009E0F3B">
        <w:rPr>
          <w:rFonts w:ascii="Cambria" w:hAnsi="Cambria"/>
          <w:sz w:val="24"/>
          <w:szCs w:val="24"/>
          <w:lang w:val="en-GB"/>
        </w:rPr>
        <w:t xml:space="preserve"> on teacher authority in the Carpathian Basin]. </w:t>
      </w:r>
      <w:proofErr w:type="spellStart"/>
      <w:r w:rsidR="009923C3" w:rsidRPr="009E0F3B">
        <w:rPr>
          <w:rFonts w:ascii="Cambria" w:hAnsi="Cambria"/>
          <w:i/>
          <w:iCs/>
          <w:sz w:val="24"/>
          <w:szCs w:val="24"/>
          <w:lang w:val="en-GB"/>
        </w:rPr>
        <w:t>Eruditio-Educatio</w:t>
      </w:r>
      <w:proofErr w:type="spellEnd"/>
      <w:r w:rsidR="009923C3" w:rsidRPr="009E0F3B">
        <w:rPr>
          <w:rFonts w:ascii="Cambria" w:hAnsi="Cambria"/>
          <w:i/>
          <w:iCs/>
          <w:sz w:val="24"/>
          <w:szCs w:val="24"/>
          <w:lang w:val="en-GB"/>
        </w:rPr>
        <w:t>, 19</w:t>
      </w:r>
      <w:r w:rsidR="009923C3" w:rsidRPr="009E0F3B">
        <w:rPr>
          <w:rFonts w:ascii="Cambria" w:hAnsi="Cambria"/>
          <w:sz w:val="24"/>
          <w:szCs w:val="24"/>
          <w:lang w:val="en-GB"/>
        </w:rPr>
        <w:t xml:space="preserve">(2), 53–79. </w:t>
      </w:r>
      <w:proofErr w:type="spellStart"/>
      <w:r w:rsidR="009923C3" w:rsidRPr="009E0F3B">
        <w:rPr>
          <w:rFonts w:ascii="Cambria" w:hAnsi="Cambria"/>
          <w:sz w:val="24"/>
          <w:szCs w:val="24"/>
          <w:lang w:val="en-GB"/>
        </w:rPr>
        <w:t>Komárno</w:t>
      </w:r>
      <w:proofErr w:type="spellEnd"/>
      <w:r w:rsidR="009923C3" w:rsidRPr="009E0F3B">
        <w:rPr>
          <w:rFonts w:ascii="Cambria" w:hAnsi="Cambria"/>
          <w:sz w:val="24"/>
          <w:szCs w:val="24"/>
          <w:lang w:val="en-GB"/>
        </w:rPr>
        <w:t xml:space="preserve">: Selye </w:t>
      </w:r>
      <w:proofErr w:type="spellStart"/>
      <w:r w:rsidR="009923C3" w:rsidRPr="009E0F3B">
        <w:rPr>
          <w:rFonts w:ascii="Cambria" w:hAnsi="Cambria"/>
          <w:sz w:val="24"/>
          <w:szCs w:val="24"/>
          <w:lang w:val="en-GB"/>
        </w:rPr>
        <w:t>János</w:t>
      </w:r>
      <w:proofErr w:type="spellEnd"/>
      <w:r w:rsidR="009923C3" w:rsidRPr="009E0F3B">
        <w:rPr>
          <w:rFonts w:ascii="Cambria" w:hAnsi="Cambria"/>
          <w:sz w:val="24"/>
          <w:szCs w:val="24"/>
          <w:lang w:val="en-GB"/>
        </w:rPr>
        <w:t xml:space="preserve"> </w:t>
      </w:r>
      <w:proofErr w:type="spellStart"/>
      <w:r w:rsidR="009923C3" w:rsidRPr="009E0F3B">
        <w:rPr>
          <w:rFonts w:ascii="Cambria" w:hAnsi="Cambria"/>
          <w:sz w:val="24"/>
          <w:szCs w:val="24"/>
          <w:lang w:val="en-GB"/>
        </w:rPr>
        <w:t>Egyetem</w:t>
      </w:r>
      <w:proofErr w:type="spellEnd"/>
      <w:r w:rsidR="009923C3" w:rsidRPr="009E0F3B">
        <w:rPr>
          <w:rFonts w:ascii="Cambria" w:hAnsi="Cambria"/>
          <w:sz w:val="24"/>
          <w:szCs w:val="24"/>
          <w:lang w:val="en-GB"/>
        </w:rPr>
        <w:t>.</w:t>
      </w:r>
    </w:p>
    <w:sectPr w:rsidR="003D0710" w:rsidRPr="009E0F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F322" w14:textId="77777777" w:rsidR="00866DE2" w:rsidRDefault="00866DE2" w:rsidP="00F919C5">
      <w:pPr>
        <w:spacing w:after="0" w:line="240" w:lineRule="auto"/>
      </w:pPr>
      <w:r>
        <w:separator/>
      </w:r>
    </w:p>
  </w:endnote>
  <w:endnote w:type="continuationSeparator" w:id="0">
    <w:p w14:paraId="29A76218" w14:textId="77777777" w:rsidR="00866DE2" w:rsidRDefault="00866DE2" w:rsidP="00F9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1CA4" w14:textId="77777777" w:rsidR="00866DE2" w:rsidRDefault="00866DE2" w:rsidP="00F919C5">
      <w:pPr>
        <w:spacing w:after="0" w:line="240" w:lineRule="auto"/>
      </w:pPr>
      <w:r>
        <w:separator/>
      </w:r>
    </w:p>
  </w:footnote>
  <w:footnote w:type="continuationSeparator" w:id="0">
    <w:p w14:paraId="41155ADA" w14:textId="77777777" w:rsidR="00866DE2" w:rsidRDefault="00866DE2" w:rsidP="00F919C5">
      <w:pPr>
        <w:spacing w:after="0" w:line="240" w:lineRule="auto"/>
      </w:pPr>
      <w:r>
        <w:continuationSeparator/>
      </w:r>
    </w:p>
  </w:footnote>
  <w:footnote w:id="1">
    <w:p w14:paraId="20A06044" w14:textId="3CAC38BF" w:rsidR="00673E91" w:rsidRPr="00673E91" w:rsidRDefault="00673E91">
      <w:pPr>
        <w:pStyle w:val="Lbjegyzetszveg"/>
        <w:rPr>
          <w:lang w:val="en-GB"/>
        </w:rPr>
      </w:pPr>
      <w:r w:rsidRPr="00673E91">
        <w:rPr>
          <w:rStyle w:val="Lbjegyzet-hivatkozs"/>
          <w:lang w:val="en-GB"/>
        </w:rPr>
        <w:footnoteRef/>
      </w:r>
      <w:r w:rsidRPr="00673E91">
        <w:rPr>
          <w:lang w:val="en-GB"/>
        </w:rPr>
        <w:t xml:space="preserve"> J. Selye University, </w:t>
      </w:r>
      <w:r w:rsidRPr="00673E91">
        <w:rPr>
          <w:lang w:val="en-GB"/>
        </w:rPr>
        <w:t>master's student</w:t>
      </w:r>
      <w:r w:rsidRPr="00673E91">
        <w:rPr>
          <w:lang w:val="en-GB"/>
        </w:rPr>
        <w:t>, Department of Biology and History</w:t>
      </w:r>
    </w:p>
  </w:footnote>
  <w:footnote w:id="2">
    <w:p w14:paraId="5A7C0AE9" w14:textId="04F80FF9" w:rsidR="00673E91" w:rsidRPr="00673E91" w:rsidRDefault="00673E91">
      <w:pPr>
        <w:pStyle w:val="Lbjegyzetszveg"/>
        <w:rPr>
          <w:lang w:val="en-GB"/>
        </w:rPr>
      </w:pPr>
      <w:r w:rsidRPr="00673E91">
        <w:rPr>
          <w:rStyle w:val="Lbjegyzet-hivatkozs"/>
          <w:lang w:val="en-GB"/>
        </w:rPr>
        <w:footnoteRef/>
      </w:r>
      <w:r w:rsidRPr="00673E91">
        <w:rPr>
          <w:lang w:val="en-GB"/>
        </w:rPr>
        <w:t xml:space="preserve"> J. Selye University, PhD student, Department of History</w:t>
      </w:r>
    </w:p>
  </w:footnote>
  <w:footnote w:id="3">
    <w:p w14:paraId="30C0BA59" w14:textId="2E2C3E15" w:rsidR="00673E91" w:rsidRPr="00673E91" w:rsidRDefault="00673E91">
      <w:pPr>
        <w:pStyle w:val="Lbjegyzetszveg"/>
        <w:rPr>
          <w:lang w:val="en-GB"/>
        </w:rPr>
      </w:pPr>
      <w:r w:rsidRPr="00673E91">
        <w:rPr>
          <w:rStyle w:val="Lbjegyzet-hivatkozs"/>
          <w:lang w:val="en-GB"/>
        </w:rPr>
        <w:footnoteRef/>
      </w:r>
      <w:r w:rsidRPr="00673E91">
        <w:rPr>
          <w:lang w:val="en-GB"/>
        </w:rPr>
        <w:t xml:space="preserve"> J. Selye University, assistant professor, Department of Biology</w:t>
      </w:r>
    </w:p>
  </w:footnote>
  <w:footnote w:id="4">
    <w:p w14:paraId="7A7F32F4" w14:textId="44B79A1D" w:rsidR="00673E91" w:rsidRPr="00673E91" w:rsidRDefault="00673E91">
      <w:pPr>
        <w:pStyle w:val="Lbjegyzetszveg"/>
        <w:rPr>
          <w:lang w:val="en-GB"/>
        </w:rPr>
      </w:pPr>
      <w:r w:rsidRPr="00673E91">
        <w:rPr>
          <w:rStyle w:val="Lbjegyzet-hivatkozs"/>
          <w:lang w:val="en-GB"/>
        </w:rPr>
        <w:footnoteRef/>
      </w:r>
      <w:r w:rsidRPr="00673E91">
        <w:rPr>
          <w:lang w:val="en-GB"/>
        </w:rPr>
        <w:t xml:space="preserve"> J. </w:t>
      </w:r>
      <w:r w:rsidRPr="00673E91">
        <w:rPr>
          <w:lang w:val="en-GB"/>
        </w:rPr>
        <w:t xml:space="preserve">Selye University, assistant professor, Department of </w:t>
      </w:r>
      <w:r w:rsidR="00F13163">
        <w:rPr>
          <w:lang w:val="en-GB"/>
        </w:rPr>
        <w:t xml:space="preserve">English Language and </w:t>
      </w:r>
      <w:r w:rsidR="00F13163">
        <w:rPr>
          <w:lang w:val="en-GB"/>
        </w:rPr>
        <w:t>Literature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C37"/>
    <w:multiLevelType w:val="hybridMultilevel"/>
    <w:tmpl w:val="A168BA1E"/>
    <w:lvl w:ilvl="0" w:tplc="041B0001">
      <w:start w:val="1"/>
      <w:numFmt w:val="bullet"/>
      <w:lvlText w:val=""/>
      <w:lvlJc w:val="left"/>
      <w:pPr>
        <w:ind w:left="1480" w:hanging="360"/>
      </w:pPr>
      <w:rPr>
        <w:rFonts w:ascii="Symbol" w:hAnsi="Symbol" w:hint="default"/>
      </w:rPr>
    </w:lvl>
    <w:lvl w:ilvl="1" w:tplc="041B0003" w:tentative="1">
      <w:start w:val="1"/>
      <w:numFmt w:val="bullet"/>
      <w:lvlText w:val="o"/>
      <w:lvlJc w:val="left"/>
      <w:pPr>
        <w:ind w:left="2200" w:hanging="360"/>
      </w:pPr>
      <w:rPr>
        <w:rFonts w:ascii="Courier New" w:hAnsi="Courier New" w:cs="Courier New" w:hint="default"/>
      </w:rPr>
    </w:lvl>
    <w:lvl w:ilvl="2" w:tplc="041B0005" w:tentative="1">
      <w:start w:val="1"/>
      <w:numFmt w:val="bullet"/>
      <w:lvlText w:val=""/>
      <w:lvlJc w:val="left"/>
      <w:pPr>
        <w:ind w:left="2920" w:hanging="360"/>
      </w:pPr>
      <w:rPr>
        <w:rFonts w:ascii="Wingdings" w:hAnsi="Wingdings" w:hint="default"/>
      </w:rPr>
    </w:lvl>
    <w:lvl w:ilvl="3" w:tplc="041B0001" w:tentative="1">
      <w:start w:val="1"/>
      <w:numFmt w:val="bullet"/>
      <w:lvlText w:val=""/>
      <w:lvlJc w:val="left"/>
      <w:pPr>
        <w:ind w:left="3640" w:hanging="360"/>
      </w:pPr>
      <w:rPr>
        <w:rFonts w:ascii="Symbol" w:hAnsi="Symbol" w:hint="default"/>
      </w:rPr>
    </w:lvl>
    <w:lvl w:ilvl="4" w:tplc="041B0003" w:tentative="1">
      <w:start w:val="1"/>
      <w:numFmt w:val="bullet"/>
      <w:lvlText w:val="o"/>
      <w:lvlJc w:val="left"/>
      <w:pPr>
        <w:ind w:left="4360" w:hanging="360"/>
      </w:pPr>
      <w:rPr>
        <w:rFonts w:ascii="Courier New" w:hAnsi="Courier New" w:cs="Courier New" w:hint="default"/>
      </w:rPr>
    </w:lvl>
    <w:lvl w:ilvl="5" w:tplc="041B0005" w:tentative="1">
      <w:start w:val="1"/>
      <w:numFmt w:val="bullet"/>
      <w:lvlText w:val=""/>
      <w:lvlJc w:val="left"/>
      <w:pPr>
        <w:ind w:left="5080" w:hanging="360"/>
      </w:pPr>
      <w:rPr>
        <w:rFonts w:ascii="Wingdings" w:hAnsi="Wingdings" w:hint="default"/>
      </w:rPr>
    </w:lvl>
    <w:lvl w:ilvl="6" w:tplc="041B0001" w:tentative="1">
      <w:start w:val="1"/>
      <w:numFmt w:val="bullet"/>
      <w:lvlText w:val=""/>
      <w:lvlJc w:val="left"/>
      <w:pPr>
        <w:ind w:left="5800" w:hanging="360"/>
      </w:pPr>
      <w:rPr>
        <w:rFonts w:ascii="Symbol" w:hAnsi="Symbol" w:hint="default"/>
      </w:rPr>
    </w:lvl>
    <w:lvl w:ilvl="7" w:tplc="041B0003" w:tentative="1">
      <w:start w:val="1"/>
      <w:numFmt w:val="bullet"/>
      <w:lvlText w:val="o"/>
      <w:lvlJc w:val="left"/>
      <w:pPr>
        <w:ind w:left="6520" w:hanging="360"/>
      </w:pPr>
      <w:rPr>
        <w:rFonts w:ascii="Courier New" w:hAnsi="Courier New" w:cs="Courier New" w:hint="default"/>
      </w:rPr>
    </w:lvl>
    <w:lvl w:ilvl="8" w:tplc="041B0005" w:tentative="1">
      <w:start w:val="1"/>
      <w:numFmt w:val="bullet"/>
      <w:lvlText w:val=""/>
      <w:lvlJc w:val="left"/>
      <w:pPr>
        <w:ind w:left="7240" w:hanging="360"/>
      </w:pPr>
      <w:rPr>
        <w:rFonts w:ascii="Wingdings" w:hAnsi="Wingdings" w:hint="default"/>
      </w:rPr>
    </w:lvl>
  </w:abstractNum>
  <w:num w:numId="1" w16cid:durableId="35503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AC"/>
    <w:rsid w:val="000117F4"/>
    <w:rsid w:val="000522CC"/>
    <w:rsid w:val="000A6991"/>
    <w:rsid w:val="000B3477"/>
    <w:rsid w:val="000D3AA2"/>
    <w:rsid w:val="000F5945"/>
    <w:rsid w:val="00120FB0"/>
    <w:rsid w:val="00140615"/>
    <w:rsid w:val="001550D5"/>
    <w:rsid w:val="001B68E4"/>
    <w:rsid w:val="001D3DCC"/>
    <w:rsid w:val="003468D0"/>
    <w:rsid w:val="00355C43"/>
    <w:rsid w:val="003868A7"/>
    <w:rsid w:val="003D0710"/>
    <w:rsid w:val="003E1EE7"/>
    <w:rsid w:val="003E41E2"/>
    <w:rsid w:val="003E7A58"/>
    <w:rsid w:val="003F5CA2"/>
    <w:rsid w:val="00415B05"/>
    <w:rsid w:val="00474306"/>
    <w:rsid w:val="004A4256"/>
    <w:rsid w:val="004B4F62"/>
    <w:rsid w:val="004C3391"/>
    <w:rsid w:val="004D25AD"/>
    <w:rsid w:val="004E0E73"/>
    <w:rsid w:val="00525B40"/>
    <w:rsid w:val="005440F7"/>
    <w:rsid w:val="00544808"/>
    <w:rsid w:val="00581129"/>
    <w:rsid w:val="005F2F4A"/>
    <w:rsid w:val="00611279"/>
    <w:rsid w:val="00673E91"/>
    <w:rsid w:val="0069016F"/>
    <w:rsid w:val="006D73CD"/>
    <w:rsid w:val="006E32F8"/>
    <w:rsid w:val="0071733B"/>
    <w:rsid w:val="007268E4"/>
    <w:rsid w:val="007313FF"/>
    <w:rsid w:val="00735970"/>
    <w:rsid w:val="007456AF"/>
    <w:rsid w:val="007463DA"/>
    <w:rsid w:val="007E77AD"/>
    <w:rsid w:val="00806C09"/>
    <w:rsid w:val="008104BC"/>
    <w:rsid w:val="00826E32"/>
    <w:rsid w:val="00866DE2"/>
    <w:rsid w:val="00872FE0"/>
    <w:rsid w:val="00874C49"/>
    <w:rsid w:val="008766EB"/>
    <w:rsid w:val="008948D4"/>
    <w:rsid w:val="008A7A12"/>
    <w:rsid w:val="00911BEE"/>
    <w:rsid w:val="009923C3"/>
    <w:rsid w:val="0099460D"/>
    <w:rsid w:val="00994EF6"/>
    <w:rsid w:val="0099615C"/>
    <w:rsid w:val="009B347A"/>
    <w:rsid w:val="009B6DA2"/>
    <w:rsid w:val="009D3608"/>
    <w:rsid w:val="009E0F3B"/>
    <w:rsid w:val="009E4779"/>
    <w:rsid w:val="00A00AB9"/>
    <w:rsid w:val="00A62560"/>
    <w:rsid w:val="00A80ECC"/>
    <w:rsid w:val="00AB5505"/>
    <w:rsid w:val="00AF0FCE"/>
    <w:rsid w:val="00AF561E"/>
    <w:rsid w:val="00B325DD"/>
    <w:rsid w:val="00B4282C"/>
    <w:rsid w:val="00B5032B"/>
    <w:rsid w:val="00B63514"/>
    <w:rsid w:val="00BB7FAC"/>
    <w:rsid w:val="00BD5071"/>
    <w:rsid w:val="00BD69C9"/>
    <w:rsid w:val="00C01051"/>
    <w:rsid w:val="00C020F7"/>
    <w:rsid w:val="00C02DA7"/>
    <w:rsid w:val="00C20C6D"/>
    <w:rsid w:val="00C404F6"/>
    <w:rsid w:val="00C46324"/>
    <w:rsid w:val="00C9696A"/>
    <w:rsid w:val="00CD7CEF"/>
    <w:rsid w:val="00CE6CC6"/>
    <w:rsid w:val="00CE7734"/>
    <w:rsid w:val="00D26AF0"/>
    <w:rsid w:val="00D61446"/>
    <w:rsid w:val="00D6589C"/>
    <w:rsid w:val="00D7543B"/>
    <w:rsid w:val="00D87B1D"/>
    <w:rsid w:val="00DB4E70"/>
    <w:rsid w:val="00DE0F1B"/>
    <w:rsid w:val="00E21831"/>
    <w:rsid w:val="00E43724"/>
    <w:rsid w:val="00E43DC7"/>
    <w:rsid w:val="00E54FEA"/>
    <w:rsid w:val="00F06D53"/>
    <w:rsid w:val="00F13163"/>
    <w:rsid w:val="00F20BAC"/>
    <w:rsid w:val="00F33ECF"/>
    <w:rsid w:val="00F403E8"/>
    <w:rsid w:val="00F61769"/>
    <w:rsid w:val="00F8285D"/>
    <w:rsid w:val="00F90470"/>
    <w:rsid w:val="00F919C5"/>
    <w:rsid w:val="00FA206A"/>
    <w:rsid w:val="00FB6EAD"/>
    <w:rsid w:val="00FF6F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678"/>
  <w15:chartTrackingRefBased/>
  <w15:docId w15:val="{132F0ADD-A451-4AB4-89D9-013B37D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C46324"/>
    <w:rPr>
      <w:sz w:val="16"/>
      <w:szCs w:val="16"/>
    </w:rPr>
  </w:style>
  <w:style w:type="paragraph" w:styleId="Jegyzetszveg">
    <w:name w:val="annotation text"/>
    <w:basedOn w:val="Norml"/>
    <w:link w:val="JegyzetszvegChar"/>
    <w:uiPriority w:val="99"/>
    <w:semiHidden/>
    <w:unhideWhenUsed/>
    <w:rsid w:val="00C46324"/>
    <w:pPr>
      <w:spacing w:line="240" w:lineRule="auto"/>
    </w:pPr>
    <w:rPr>
      <w:sz w:val="20"/>
      <w:szCs w:val="20"/>
    </w:rPr>
  </w:style>
  <w:style w:type="character" w:customStyle="1" w:styleId="JegyzetszvegChar">
    <w:name w:val="Jegyzetszöveg Char"/>
    <w:basedOn w:val="Bekezdsalapbettpusa"/>
    <w:link w:val="Jegyzetszveg"/>
    <w:uiPriority w:val="99"/>
    <w:semiHidden/>
    <w:rsid w:val="00C46324"/>
    <w:rPr>
      <w:sz w:val="20"/>
      <w:szCs w:val="20"/>
    </w:rPr>
  </w:style>
  <w:style w:type="paragraph" w:styleId="Megjegyzstrgya">
    <w:name w:val="annotation subject"/>
    <w:basedOn w:val="Jegyzetszveg"/>
    <w:next w:val="Jegyzetszveg"/>
    <w:link w:val="MegjegyzstrgyaChar"/>
    <w:uiPriority w:val="99"/>
    <w:semiHidden/>
    <w:unhideWhenUsed/>
    <w:rsid w:val="00C46324"/>
    <w:rPr>
      <w:b/>
      <w:bCs/>
    </w:rPr>
  </w:style>
  <w:style w:type="character" w:customStyle="1" w:styleId="MegjegyzstrgyaChar">
    <w:name w:val="Megjegyzés tárgya Char"/>
    <w:basedOn w:val="JegyzetszvegChar"/>
    <w:link w:val="Megjegyzstrgya"/>
    <w:uiPriority w:val="99"/>
    <w:semiHidden/>
    <w:rsid w:val="00C46324"/>
    <w:rPr>
      <w:b/>
      <w:bCs/>
      <w:sz w:val="20"/>
      <w:szCs w:val="20"/>
    </w:rPr>
  </w:style>
  <w:style w:type="paragraph" w:styleId="Buborkszveg">
    <w:name w:val="Balloon Text"/>
    <w:basedOn w:val="Norml"/>
    <w:link w:val="BuborkszvegChar"/>
    <w:uiPriority w:val="99"/>
    <w:semiHidden/>
    <w:unhideWhenUsed/>
    <w:rsid w:val="00C463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324"/>
    <w:rPr>
      <w:rFonts w:ascii="Segoe UI" w:hAnsi="Segoe UI" w:cs="Segoe UI"/>
      <w:sz w:val="18"/>
      <w:szCs w:val="18"/>
    </w:rPr>
  </w:style>
  <w:style w:type="paragraph" w:styleId="Listaszerbekezds">
    <w:name w:val="List Paragraph"/>
    <w:basedOn w:val="Norml"/>
    <w:uiPriority w:val="34"/>
    <w:qFormat/>
    <w:rsid w:val="00611279"/>
    <w:pPr>
      <w:ind w:left="720"/>
      <w:contextualSpacing/>
    </w:pPr>
  </w:style>
  <w:style w:type="table" w:styleId="Rcsostblzat">
    <w:name w:val="Table Grid"/>
    <w:basedOn w:val="Normltblzat"/>
    <w:uiPriority w:val="39"/>
    <w:rsid w:val="00FB6EAD"/>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unhideWhenUsed/>
    <w:qFormat/>
    <w:rsid w:val="00FB6EAD"/>
    <w:pPr>
      <w:spacing w:after="200" w:line="240" w:lineRule="auto"/>
    </w:pPr>
    <w:rPr>
      <w:i/>
      <w:iCs/>
      <w:color w:val="44546A" w:themeColor="text2"/>
      <w:sz w:val="18"/>
      <w:szCs w:val="18"/>
    </w:rPr>
  </w:style>
  <w:style w:type="character" w:styleId="Hiperhivatkozs">
    <w:name w:val="Hyperlink"/>
    <w:basedOn w:val="Bekezdsalapbettpusa"/>
    <w:uiPriority w:val="99"/>
    <w:unhideWhenUsed/>
    <w:rsid w:val="003D0710"/>
    <w:rPr>
      <w:color w:val="0563C1" w:themeColor="hyperlink"/>
      <w:u w:val="single"/>
    </w:rPr>
  </w:style>
  <w:style w:type="paragraph" w:styleId="lfej">
    <w:name w:val="header"/>
    <w:basedOn w:val="Norml"/>
    <w:link w:val="lfejChar"/>
    <w:uiPriority w:val="99"/>
    <w:unhideWhenUsed/>
    <w:rsid w:val="00F919C5"/>
    <w:pPr>
      <w:tabs>
        <w:tab w:val="center" w:pos="4536"/>
        <w:tab w:val="right" w:pos="9072"/>
      </w:tabs>
      <w:spacing w:after="0" w:line="240" w:lineRule="auto"/>
    </w:pPr>
  </w:style>
  <w:style w:type="character" w:customStyle="1" w:styleId="lfejChar">
    <w:name w:val="Élőfej Char"/>
    <w:basedOn w:val="Bekezdsalapbettpusa"/>
    <w:link w:val="lfej"/>
    <w:uiPriority w:val="99"/>
    <w:rsid w:val="00F919C5"/>
  </w:style>
  <w:style w:type="paragraph" w:styleId="llb">
    <w:name w:val="footer"/>
    <w:basedOn w:val="Norml"/>
    <w:link w:val="llbChar"/>
    <w:uiPriority w:val="99"/>
    <w:unhideWhenUsed/>
    <w:rsid w:val="00F919C5"/>
    <w:pPr>
      <w:tabs>
        <w:tab w:val="center" w:pos="4536"/>
        <w:tab w:val="right" w:pos="9072"/>
      </w:tabs>
      <w:spacing w:after="0" w:line="240" w:lineRule="auto"/>
    </w:pPr>
  </w:style>
  <w:style w:type="character" w:customStyle="1" w:styleId="llbChar">
    <w:name w:val="Élőláb Char"/>
    <w:basedOn w:val="Bekezdsalapbettpusa"/>
    <w:link w:val="llb"/>
    <w:uiPriority w:val="99"/>
    <w:rsid w:val="00F919C5"/>
  </w:style>
  <w:style w:type="paragraph" w:styleId="Lbjegyzetszveg">
    <w:name w:val="footnote text"/>
    <w:basedOn w:val="Norml"/>
    <w:link w:val="LbjegyzetszvegChar"/>
    <w:uiPriority w:val="99"/>
    <w:semiHidden/>
    <w:unhideWhenUsed/>
    <w:rsid w:val="00673E9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73E91"/>
    <w:rPr>
      <w:sz w:val="20"/>
      <w:szCs w:val="20"/>
    </w:rPr>
  </w:style>
  <w:style w:type="character" w:styleId="Lbjegyzet-hivatkozs">
    <w:name w:val="footnote reference"/>
    <w:basedOn w:val="Bekezdsalapbettpusa"/>
    <w:uiPriority w:val="99"/>
    <w:semiHidden/>
    <w:unhideWhenUsed/>
    <w:rsid w:val="00673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283">
      <w:bodyDiv w:val="1"/>
      <w:marLeft w:val="0"/>
      <w:marRight w:val="0"/>
      <w:marTop w:val="0"/>
      <w:marBottom w:val="0"/>
      <w:divBdr>
        <w:top w:val="none" w:sz="0" w:space="0" w:color="auto"/>
        <w:left w:val="none" w:sz="0" w:space="0" w:color="auto"/>
        <w:bottom w:val="none" w:sz="0" w:space="0" w:color="auto"/>
        <w:right w:val="none" w:sz="0" w:space="0" w:color="auto"/>
      </w:divBdr>
    </w:div>
    <w:div w:id="96605778">
      <w:bodyDiv w:val="1"/>
      <w:marLeft w:val="0"/>
      <w:marRight w:val="0"/>
      <w:marTop w:val="0"/>
      <w:marBottom w:val="0"/>
      <w:divBdr>
        <w:top w:val="none" w:sz="0" w:space="0" w:color="auto"/>
        <w:left w:val="none" w:sz="0" w:space="0" w:color="auto"/>
        <w:bottom w:val="none" w:sz="0" w:space="0" w:color="auto"/>
        <w:right w:val="none" w:sz="0" w:space="0" w:color="auto"/>
      </w:divBdr>
    </w:div>
    <w:div w:id="307710831">
      <w:bodyDiv w:val="1"/>
      <w:marLeft w:val="0"/>
      <w:marRight w:val="0"/>
      <w:marTop w:val="0"/>
      <w:marBottom w:val="0"/>
      <w:divBdr>
        <w:top w:val="none" w:sz="0" w:space="0" w:color="auto"/>
        <w:left w:val="none" w:sz="0" w:space="0" w:color="auto"/>
        <w:bottom w:val="none" w:sz="0" w:space="0" w:color="auto"/>
        <w:right w:val="none" w:sz="0" w:space="0" w:color="auto"/>
      </w:divBdr>
    </w:div>
    <w:div w:id="335427695">
      <w:bodyDiv w:val="1"/>
      <w:marLeft w:val="0"/>
      <w:marRight w:val="0"/>
      <w:marTop w:val="0"/>
      <w:marBottom w:val="0"/>
      <w:divBdr>
        <w:top w:val="none" w:sz="0" w:space="0" w:color="auto"/>
        <w:left w:val="none" w:sz="0" w:space="0" w:color="auto"/>
        <w:bottom w:val="none" w:sz="0" w:space="0" w:color="auto"/>
        <w:right w:val="none" w:sz="0" w:space="0" w:color="auto"/>
      </w:divBdr>
    </w:div>
    <w:div w:id="422065814">
      <w:bodyDiv w:val="1"/>
      <w:marLeft w:val="0"/>
      <w:marRight w:val="0"/>
      <w:marTop w:val="0"/>
      <w:marBottom w:val="0"/>
      <w:divBdr>
        <w:top w:val="none" w:sz="0" w:space="0" w:color="auto"/>
        <w:left w:val="none" w:sz="0" w:space="0" w:color="auto"/>
        <w:bottom w:val="none" w:sz="0" w:space="0" w:color="auto"/>
        <w:right w:val="none" w:sz="0" w:space="0" w:color="auto"/>
      </w:divBdr>
    </w:div>
    <w:div w:id="539099617">
      <w:bodyDiv w:val="1"/>
      <w:marLeft w:val="0"/>
      <w:marRight w:val="0"/>
      <w:marTop w:val="0"/>
      <w:marBottom w:val="0"/>
      <w:divBdr>
        <w:top w:val="none" w:sz="0" w:space="0" w:color="auto"/>
        <w:left w:val="none" w:sz="0" w:space="0" w:color="auto"/>
        <w:bottom w:val="none" w:sz="0" w:space="0" w:color="auto"/>
        <w:right w:val="none" w:sz="0" w:space="0" w:color="auto"/>
      </w:divBdr>
    </w:div>
    <w:div w:id="1070545677">
      <w:bodyDiv w:val="1"/>
      <w:marLeft w:val="0"/>
      <w:marRight w:val="0"/>
      <w:marTop w:val="0"/>
      <w:marBottom w:val="0"/>
      <w:divBdr>
        <w:top w:val="none" w:sz="0" w:space="0" w:color="auto"/>
        <w:left w:val="none" w:sz="0" w:space="0" w:color="auto"/>
        <w:bottom w:val="none" w:sz="0" w:space="0" w:color="auto"/>
        <w:right w:val="none" w:sz="0" w:space="0" w:color="auto"/>
      </w:divBdr>
    </w:div>
    <w:div w:id="1233740540">
      <w:bodyDiv w:val="1"/>
      <w:marLeft w:val="0"/>
      <w:marRight w:val="0"/>
      <w:marTop w:val="0"/>
      <w:marBottom w:val="0"/>
      <w:divBdr>
        <w:top w:val="none" w:sz="0" w:space="0" w:color="auto"/>
        <w:left w:val="none" w:sz="0" w:space="0" w:color="auto"/>
        <w:bottom w:val="none" w:sz="0" w:space="0" w:color="auto"/>
        <w:right w:val="none" w:sz="0" w:space="0" w:color="auto"/>
      </w:divBdr>
      <w:divsChild>
        <w:div w:id="1042557000">
          <w:marLeft w:val="0"/>
          <w:marRight w:val="0"/>
          <w:marTop w:val="0"/>
          <w:marBottom w:val="0"/>
          <w:divBdr>
            <w:top w:val="none" w:sz="0" w:space="0" w:color="auto"/>
            <w:left w:val="none" w:sz="0" w:space="0" w:color="auto"/>
            <w:bottom w:val="none" w:sz="0" w:space="0" w:color="auto"/>
            <w:right w:val="none" w:sz="0" w:space="0" w:color="auto"/>
          </w:divBdr>
          <w:divsChild>
            <w:div w:id="838613962">
              <w:marLeft w:val="0"/>
              <w:marRight w:val="0"/>
              <w:marTop w:val="100"/>
              <w:marBottom w:val="100"/>
              <w:divBdr>
                <w:top w:val="none" w:sz="0" w:space="0" w:color="auto"/>
                <w:left w:val="none" w:sz="0" w:space="0" w:color="auto"/>
                <w:bottom w:val="none" w:sz="0" w:space="0" w:color="auto"/>
                <w:right w:val="none" w:sz="0" w:space="0" w:color="auto"/>
              </w:divBdr>
              <w:divsChild>
                <w:div w:id="658116567">
                  <w:marLeft w:val="0"/>
                  <w:marRight w:val="0"/>
                  <w:marTop w:val="0"/>
                  <w:marBottom w:val="0"/>
                  <w:divBdr>
                    <w:top w:val="none" w:sz="0" w:space="0" w:color="auto"/>
                    <w:left w:val="none" w:sz="0" w:space="0" w:color="auto"/>
                    <w:bottom w:val="none" w:sz="0" w:space="0" w:color="auto"/>
                    <w:right w:val="none" w:sz="0" w:space="0" w:color="auto"/>
                  </w:divBdr>
                  <w:divsChild>
                    <w:div w:id="656155021">
                      <w:marLeft w:val="0"/>
                      <w:marRight w:val="0"/>
                      <w:marTop w:val="0"/>
                      <w:marBottom w:val="0"/>
                      <w:divBdr>
                        <w:top w:val="none" w:sz="0" w:space="0" w:color="auto"/>
                        <w:left w:val="none" w:sz="0" w:space="0" w:color="auto"/>
                        <w:bottom w:val="none" w:sz="0" w:space="0" w:color="auto"/>
                        <w:right w:val="none" w:sz="0" w:space="0" w:color="auto"/>
                      </w:divBdr>
                      <w:divsChild>
                        <w:div w:id="612178717">
                          <w:marLeft w:val="0"/>
                          <w:marRight w:val="0"/>
                          <w:marTop w:val="0"/>
                          <w:marBottom w:val="0"/>
                          <w:divBdr>
                            <w:top w:val="none" w:sz="0" w:space="0" w:color="auto"/>
                            <w:left w:val="none" w:sz="0" w:space="0" w:color="auto"/>
                            <w:bottom w:val="none" w:sz="0" w:space="0" w:color="auto"/>
                            <w:right w:val="none" w:sz="0" w:space="0" w:color="auto"/>
                          </w:divBdr>
                          <w:divsChild>
                            <w:div w:id="1191526961">
                              <w:marLeft w:val="0"/>
                              <w:marRight w:val="0"/>
                              <w:marTop w:val="0"/>
                              <w:marBottom w:val="0"/>
                              <w:divBdr>
                                <w:top w:val="none" w:sz="0" w:space="0" w:color="auto"/>
                                <w:left w:val="none" w:sz="0" w:space="0" w:color="auto"/>
                                <w:bottom w:val="none" w:sz="0" w:space="0" w:color="auto"/>
                                <w:right w:val="none" w:sz="0" w:space="0" w:color="auto"/>
                              </w:divBdr>
                              <w:divsChild>
                                <w:div w:id="1213811319">
                                  <w:marLeft w:val="0"/>
                                  <w:marRight w:val="0"/>
                                  <w:marTop w:val="100"/>
                                  <w:marBottom w:val="100"/>
                                  <w:divBdr>
                                    <w:top w:val="none" w:sz="0" w:space="0" w:color="auto"/>
                                    <w:left w:val="none" w:sz="0" w:space="0" w:color="auto"/>
                                    <w:bottom w:val="none" w:sz="0" w:space="0" w:color="auto"/>
                                    <w:right w:val="none" w:sz="0" w:space="0" w:color="auto"/>
                                  </w:divBdr>
                                  <w:divsChild>
                                    <w:div w:id="1145850700">
                                      <w:marLeft w:val="0"/>
                                      <w:marRight w:val="0"/>
                                      <w:marTop w:val="0"/>
                                      <w:marBottom w:val="0"/>
                                      <w:divBdr>
                                        <w:top w:val="none" w:sz="0" w:space="0" w:color="auto"/>
                                        <w:left w:val="none" w:sz="0" w:space="0" w:color="auto"/>
                                        <w:bottom w:val="none" w:sz="0" w:space="0" w:color="auto"/>
                                        <w:right w:val="none" w:sz="0" w:space="0" w:color="auto"/>
                                      </w:divBdr>
                                      <w:divsChild>
                                        <w:div w:id="1739280075">
                                          <w:marLeft w:val="0"/>
                                          <w:marRight w:val="0"/>
                                          <w:marTop w:val="0"/>
                                          <w:marBottom w:val="0"/>
                                          <w:divBdr>
                                            <w:top w:val="none" w:sz="0" w:space="0" w:color="auto"/>
                                            <w:left w:val="none" w:sz="0" w:space="0" w:color="auto"/>
                                            <w:bottom w:val="none" w:sz="0" w:space="0" w:color="auto"/>
                                            <w:right w:val="none" w:sz="0" w:space="0" w:color="auto"/>
                                          </w:divBdr>
                                          <w:divsChild>
                                            <w:div w:id="147214144">
                                              <w:marLeft w:val="0"/>
                                              <w:marRight w:val="0"/>
                                              <w:marTop w:val="0"/>
                                              <w:marBottom w:val="0"/>
                                              <w:divBdr>
                                                <w:top w:val="none" w:sz="0" w:space="0" w:color="auto"/>
                                                <w:left w:val="none" w:sz="0" w:space="0" w:color="auto"/>
                                                <w:bottom w:val="none" w:sz="0" w:space="0" w:color="auto"/>
                                                <w:right w:val="none" w:sz="0" w:space="0" w:color="auto"/>
                                              </w:divBdr>
                                            </w:div>
                                          </w:divsChild>
                                        </w:div>
                                        <w:div w:id="995063551">
                                          <w:marLeft w:val="0"/>
                                          <w:marRight w:val="0"/>
                                          <w:marTop w:val="0"/>
                                          <w:marBottom w:val="0"/>
                                          <w:divBdr>
                                            <w:top w:val="none" w:sz="0" w:space="0" w:color="auto"/>
                                            <w:left w:val="none" w:sz="0" w:space="0" w:color="auto"/>
                                            <w:bottom w:val="none" w:sz="0" w:space="0" w:color="auto"/>
                                            <w:right w:val="none" w:sz="0" w:space="0" w:color="auto"/>
                                          </w:divBdr>
                                          <w:divsChild>
                                            <w:div w:id="1225288816">
                                              <w:marLeft w:val="0"/>
                                              <w:marRight w:val="0"/>
                                              <w:marTop w:val="0"/>
                                              <w:marBottom w:val="0"/>
                                              <w:divBdr>
                                                <w:top w:val="none" w:sz="0" w:space="0" w:color="auto"/>
                                                <w:left w:val="none" w:sz="0" w:space="0" w:color="auto"/>
                                                <w:bottom w:val="none" w:sz="0" w:space="0" w:color="auto"/>
                                                <w:right w:val="none" w:sz="0" w:space="0" w:color="auto"/>
                                              </w:divBdr>
                                              <w:divsChild>
                                                <w:div w:id="1667978408">
                                                  <w:marLeft w:val="0"/>
                                                  <w:marRight w:val="0"/>
                                                  <w:marTop w:val="0"/>
                                                  <w:marBottom w:val="0"/>
                                                  <w:divBdr>
                                                    <w:top w:val="none" w:sz="0" w:space="0" w:color="auto"/>
                                                    <w:left w:val="none" w:sz="0" w:space="0" w:color="auto"/>
                                                    <w:bottom w:val="none" w:sz="0" w:space="0" w:color="auto"/>
                                                    <w:right w:val="none" w:sz="0" w:space="0" w:color="auto"/>
                                                  </w:divBdr>
                                                  <w:divsChild>
                                                    <w:div w:id="841355648">
                                                      <w:marLeft w:val="0"/>
                                                      <w:marRight w:val="0"/>
                                                      <w:marTop w:val="0"/>
                                                      <w:marBottom w:val="0"/>
                                                      <w:divBdr>
                                                        <w:top w:val="none" w:sz="0" w:space="0" w:color="auto"/>
                                                        <w:left w:val="none" w:sz="0" w:space="0" w:color="auto"/>
                                                        <w:bottom w:val="none" w:sz="0" w:space="0" w:color="auto"/>
                                                        <w:right w:val="none" w:sz="0" w:space="0" w:color="auto"/>
                                                      </w:divBdr>
                                                      <w:divsChild>
                                                        <w:div w:id="983464922">
                                                          <w:marLeft w:val="0"/>
                                                          <w:marRight w:val="0"/>
                                                          <w:marTop w:val="0"/>
                                                          <w:marBottom w:val="0"/>
                                                          <w:divBdr>
                                                            <w:top w:val="none" w:sz="0" w:space="0" w:color="auto"/>
                                                            <w:left w:val="none" w:sz="0" w:space="0" w:color="auto"/>
                                                            <w:bottom w:val="none" w:sz="0" w:space="0" w:color="auto"/>
                                                            <w:right w:val="none" w:sz="0" w:space="0" w:color="auto"/>
                                                          </w:divBdr>
                                                          <w:divsChild>
                                                            <w:div w:id="1851018230">
                                                              <w:marLeft w:val="0"/>
                                                              <w:marRight w:val="0"/>
                                                              <w:marTop w:val="0"/>
                                                              <w:marBottom w:val="0"/>
                                                              <w:divBdr>
                                                                <w:top w:val="none" w:sz="0" w:space="0" w:color="auto"/>
                                                                <w:left w:val="none" w:sz="0" w:space="0" w:color="auto"/>
                                                                <w:bottom w:val="none" w:sz="0" w:space="0" w:color="auto"/>
                                                                <w:right w:val="none" w:sz="0" w:space="0" w:color="auto"/>
                                                              </w:divBdr>
                                                            </w:div>
                                                          </w:divsChild>
                                                        </w:div>
                                                        <w:div w:id="195849038">
                                                          <w:marLeft w:val="0"/>
                                                          <w:marRight w:val="0"/>
                                                          <w:marTop w:val="0"/>
                                                          <w:marBottom w:val="0"/>
                                                          <w:divBdr>
                                                            <w:top w:val="none" w:sz="0" w:space="0" w:color="auto"/>
                                                            <w:left w:val="none" w:sz="0" w:space="0" w:color="auto"/>
                                                            <w:bottom w:val="none" w:sz="0" w:space="0" w:color="auto"/>
                                                            <w:right w:val="none" w:sz="0" w:space="0" w:color="auto"/>
                                                          </w:divBdr>
                                                          <w:divsChild>
                                                            <w:div w:id="154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839">
                                                      <w:marLeft w:val="0"/>
                                                      <w:marRight w:val="0"/>
                                                      <w:marTop w:val="0"/>
                                                      <w:marBottom w:val="0"/>
                                                      <w:divBdr>
                                                        <w:top w:val="none" w:sz="0" w:space="0" w:color="auto"/>
                                                        <w:left w:val="none" w:sz="0" w:space="0" w:color="auto"/>
                                                        <w:bottom w:val="none" w:sz="0" w:space="0" w:color="auto"/>
                                                        <w:right w:val="none" w:sz="0" w:space="0" w:color="auto"/>
                                                      </w:divBdr>
                                                      <w:divsChild>
                                                        <w:div w:id="16587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86560">
                              <w:marLeft w:val="0"/>
                              <w:marRight w:val="0"/>
                              <w:marTop w:val="100"/>
                              <w:marBottom w:val="100"/>
                              <w:divBdr>
                                <w:top w:val="none" w:sz="0" w:space="0" w:color="auto"/>
                                <w:left w:val="none" w:sz="0" w:space="0" w:color="auto"/>
                                <w:bottom w:val="none" w:sz="0" w:space="0" w:color="auto"/>
                                <w:right w:val="none" w:sz="0" w:space="0" w:color="auto"/>
                              </w:divBdr>
                              <w:divsChild>
                                <w:div w:id="1704092581">
                                  <w:marLeft w:val="0"/>
                                  <w:marRight w:val="0"/>
                                  <w:marTop w:val="0"/>
                                  <w:marBottom w:val="0"/>
                                  <w:divBdr>
                                    <w:top w:val="none" w:sz="0" w:space="0" w:color="auto"/>
                                    <w:left w:val="none" w:sz="0" w:space="0" w:color="auto"/>
                                    <w:bottom w:val="none" w:sz="0" w:space="0" w:color="auto"/>
                                    <w:right w:val="none" w:sz="0" w:space="0" w:color="auto"/>
                                  </w:divBdr>
                                  <w:divsChild>
                                    <w:div w:id="989988580">
                                      <w:marLeft w:val="0"/>
                                      <w:marRight w:val="0"/>
                                      <w:marTop w:val="0"/>
                                      <w:marBottom w:val="0"/>
                                      <w:divBdr>
                                        <w:top w:val="none" w:sz="0" w:space="0" w:color="auto"/>
                                        <w:left w:val="none" w:sz="0" w:space="0" w:color="auto"/>
                                        <w:bottom w:val="none" w:sz="0" w:space="0" w:color="auto"/>
                                        <w:right w:val="none" w:sz="0" w:space="0" w:color="auto"/>
                                      </w:divBdr>
                                      <w:divsChild>
                                        <w:div w:id="1378121529">
                                          <w:marLeft w:val="0"/>
                                          <w:marRight w:val="0"/>
                                          <w:marTop w:val="0"/>
                                          <w:marBottom w:val="0"/>
                                          <w:divBdr>
                                            <w:top w:val="none" w:sz="0" w:space="0" w:color="auto"/>
                                            <w:left w:val="none" w:sz="0" w:space="0" w:color="auto"/>
                                            <w:bottom w:val="none" w:sz="0" w:space="0" w:color="auto"/>
                                            <w:right w:val="none" w:sz="0" w:space="0" w:color="auto"/>
                                          </w:divBdr>
                                          <w:divsChild>
                                            <w:div w:id="1670447123">
                                              <w:marLeft w:val="0"/>
                                              <w:marRight w:val="0"/>
                                              <w:marTop w:val="0"/>
                                              <w:marBottom w:val="0"/>
                                              <w:divBdr>
                                                <w:top w:val="none" w:sz="0" w:space="0" w:color="auto"/>
                                                <w:left w:val="none" w:sz="0" w:space="0" w:color="auto"/>
                                                <w:bottom w:val="none" w:sz="0" w:space="0" w:color="auto"/>
                                                <w:right w:val="none" w:sz="0" w:space="0" w:color="auto"/>
                                              </w:divBdr>
                                            </w:div>
                                          </w:divsChild>
                                        </w:div>
                                        <w:div w:id="1517572477">
                                          <w:marLeft w:val="0"/>
                                          <w:marRight w:val="0"/>
                                          <w:marTop w:val="0"/>
                                          <w:marBottom w:val="0"/>
                                          <w:divBdr>
                                            <w:top w:val="none" w:sz="0" w:space="0" w:color="auto"/>
                                            <w:left w:val="none" w:sz="0" w:space="0" w:color="auto"/>
                                            <w:bottom w:val="none" w:sz="0" w:space="0" w:color="auto"/>
                                            <w:right w:val="none" w:sz="0" w:space="0" w:color="auto"/>
                                          </w:divBdr>
                                          <w:divsChild>
                                            <w:div w:id="1580216857">
                                              <w:marLeft w:val="0"/>
                                              <w:marRight w:val="0"/>
                                              <w:marTop w:val="0"/>
                                              <w:marBottom w:val="0"/>
                                              <w:divBdr>
                                                <w:top w:val="none" w:sz="0" w:space="0" w:color="auto"/>
                                                <w:left w:val="none" w:sz="0" w:space="0" w:color="auto"/>
                                                <w:bottom w:val="none" w:sz="0" w:space="0" w:color="auto"/>
                                                <w:right w:val="none" w:sz="0" w:space="0" w:color="auto"/>
                                              </w:divBdr>
                                              <w:divsChild>
                                                <w:div w:id="682709997">
                                                  <w:marLeft w:val="0"/>
                                                  <w:marRight w:val="0"/>
                                                  <w:marTop w:val="0"/>
                                                  <w:marBottom w:val="0"/>
                                                  <w:divBdr>
                                                    <w:top w:val="none" w:sz="0" w:space="0" w:color="auto"/>
                                                    <w:left w:val="none" w:sz="0" w:space="0" w:color="auto"/>
                                                    <w:bottom w:val="none" w:sz="0" w:space="0" w:color="auto"/>
                                                    <w:right w:val="none" w:sz="0" w:space="0" w:color="auto"/>
                                                  </w:divBdr>
                                                  <w:divsChild>
                                                    <w:div w:id="7587948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80156516">
                                              <w:marLeft w:val="0"/>
                                              <w:marRight w:val="0"/>
                                              <w:marTop w:val="0"/>
                                              <w:marBottom w:val="0"/>
                                              <w:divBdr>
                                                <w:top w:val="none" w:sz="0" w:space="0" w:color="auto"/>
                                                <w:left w:val="none" w:sz="0" w:space="0" w:color="auto"/>
                                                <w:bottom w:val="none" w:sz="0" w:space="0" w:color="auto"/>
                                                <w:right w:val="none" w:sz="0" w:space="0" w:color="auto"/>
                                              </w:divBdr>
                                              <w:divsChild>
                                                <w:div w:id="1459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72150">
          <w:marLeft w:val="0"/>
          <w:marRight w:val="0"/>
          <w:marTop w:val="0"/>
          <w:marBottom w:val="0"/>
          <w:divBdr>
            <w:top w:val="none" w:sz="0" w:space="0" w:color="auto"/>
            <w:left w:val="none" w:sz="0" w:space="0" w:color="auto"/>
            <w:bottom w:val="none" w:sz="0" w:space="0" w:color="auto"/>
            <w:right w:val="none" w:sz="0" w:space="0" w:color="auto"/>
          </w:divBdr>
          <w:divsChild>
            <w:div w:id="2130001948">
              <w:marLeft w:val="0"/>
              <w:marRight w:val="0"/>
              <w:marTop w:val="100"/>
              <w:marBottom w:val="100"/>
              <w:divBdr>
                <w:top w:val="none" w:sz="0" w:space="0" w:color="auto"/>
                <w:left w:val="none" w:sz="0" w:space="0" w:color="auto"/>
                <w:bottom w:val="none" w:sz="0" w:space="0" w:color="auto"/>
                <w:right w:val="none" w:sz="0" w:space="0" w:color="auto"/>
              </w:divBdr>
              <w:divsChild>
                <w:div w:id="127165413">
                  <w:marLeft w:val="0"/>
                  <w:marRight w:val="0"/>
                  <w:marTop w:val="0"/>
                  <w:marBottom w:val="0"/>
                  <w:divBdr>
                    <w:top w:val="none" w:sz="0" w:space="0" w:color="auto"/>
                    <w:left w:val="none" w:sz="0" w:space="0" w:color="auto"/>
                    <w:bottom w:val="none" w:sz="0" w:space="0" w:color="auto"/>
                    <w:right w:val="none" w:sz="0" w:space="0" w:color="auto"/>
                  </w:divBdr>
                  <w:divsChild>
                    <w:div w:id="78868549">
                      <w:marLeft w:val="0"/>
                      <w:marRight w:val="0"/>
                      <w:marTop w:val="0"/>
                      <w:marBottom w:val="0"/>
                      <w:divBdr>
                        <w:top w:val="none" w:sz="0" w:space="0" w:color="auto"/>
                        <w:left w:val="none" w:sz="0" w:space="0" w:color="auto"/>
                        <w:bottom w:val="none" w:sz="0" w:space="0" w:color="auto"/>
                        <w:right w:val="none" w:sz="0" w:space="0" w:color="auto"/>
                      </w:divBdr>
                      <w:divsChild>
                        <w:div w:id="1151604070">
                          <w:marLeft w:val="0"/>
                          <w:marRight w:val="0"/>
                          <w:marTop w:val="0"/>
                          <w:marBottom w:val="0"/>
                          <w:divBdr>
                            <w:top w:val="none" w:sz="0" w:space="0" w:color="auto"/>
                            <w:left w:val="none" w:sz="0" w:space="0" w:color="auto"/>
                            <w:bottom w:val="none" w:sz="0" w:space="0" w:color="auto"/>
                            <w:right w:val="none" w:sz="0" w:space="0" w:color="auto"/>
                          </w:divBdr>
                          <w:divsChild>
                            <w:div w:id="15624291">
                              <w:marLeft w:val="0"/>
                              <w:marRight w:val="0"/>
                              <w:marTop w:val="0"/>
                              <w:marBottom w:val="0"/>
                              <w:divBdr>
                                <w:top w:val="none" w:sz="0" w:space="0" w:color="auto"/>
                                <w:left w:val="none" w:sz="0" w:space="0" w:color="auto"/>
                                <w:bottom w:val="none" w:sz="0" w:space="0" w:color="auto"/>
                                <w:right w:val="none" w:sz="0" w:space="0" w:color="auto"/>
                              </w:divBdr>
                              <w:divsChild>
                                <w:div w:id="2061435183">
                                  <w:marLeft w:val="0"/>
                                  <w:marRight w:val="0"/>
                                  <w:marTop w:val="0"/>
                                  <w:marBottom w:val="0"/>
                                  <w:divBdr>
                                    <w:top w:val="none" w:sz="0" w:space="0" w:color="auto"/>
                                    <w:left w:val="none" w:sz="0" w:space="0" w:color="auto"/>
                                    <w:bottom w:val="none" w:sz="0" w:space="0" w:color="auto"/>
                                    <w:right w:val="none" w:sz="0" w:space="0" w:color="auto"/>
                                  </w:divBdr>
                                  <w:divsChild>
                                    <w:div w:id="853156930">
                                      <w:marLeft w:val="0"/>
                                      <w:marRight w:val="0"/>
                                      <w:marTop w:val="0"/>
                                      <w:marBottom w:val="0"/>
                                      <w:divBdr>
                                        <w:top w:val="none" w:sz="0" w:space="0" w:color="auto"/>
                                        <w:left w:val="none" w:sz="0" w:space="0" w:color="auto"/>
                                        <w:bottom w:val="none" w:sz="0" w:space="0" w:color="auto"/>
                                        <w:right w:val="none" w:sz="0" w:space="0" w:color="auto"/>
                                      </w:divBdr>
                                      <w:divsChild>
                                        <w:div w:id="1467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680">
                      <w:marLeft w:val="0"/>
                      <w:marRight w:val="0"/>
                      <w:marTop w:val="0"/>
                      <w:marBottom w:val="0"/>
                      <w:divBdr>
                        <w:top w:val="none" w:sz="0" w:space="0" w:color="auto"/>
                        <w:left w:val="none" w:sz="0" w:space="0" w:color="auto"/>
                        <w:bottom w:val="none" w:sz="0" w:space="0" w:color="auto"/>
                        <w:right w:val="none" w:sz="0" w:space="0" w:color="auto"/>
                      </w:divBdr>
                      <w:divsChild>
                        <w:div w:id="1218198370">
                          <w:marLeft w:val="0"/>
                          <w:marRight w:val="0"/>
                          <w:marTop w:val="0"/>
                          <w:marBottom w:val="0"/>
                          <w:divBdr>
                            <w:top w:val="none" w:sz="0" w:space="0" w:color="auto"/>
                            <w:left w:val="none" w:sz="0" w:space="0" w:color="auto"/>
                            <w:bottom w:val="none" w:sz="0" w:space="0" w:color="auto"/>
                            <w:right w:val="none" w:sz="0" w:space="0" w:color="auto"/>
                          </w:divBdr>
                          <w:divsChild>
                            <w:div w:id="1319576610">
                              <w:marLeft w:val="0"/>
                              <w:marRight w:val="0"/>
                              <w:marTop w:val="0"/>
                              <w:marBottom w:val="0"/>
                              <w:divBdr>
                                <w:top w:val="none" w:sz="0" w:space="0" w:color="auto"/>
                                <w:left w:val="none" w:sz="0" w:space="0" w:color="auto"/>
                                <w:bottom w:val="none" w:sz="0" w:space="0" w:color="auto"/>
                                <w:right w:val="none" w:sz="0" w:space="0" w:color="auto"/>
                              </w:divBdr>
                              <w:divsChild>
                                <w:div w:id="1613585660">
                                  <w:marLeft w:val="0"/>
                                  <w:marRight w:val="0"/>
                                  <w:marTop w:val="0"/>
                                  <w:marBottom w:val="0"/>
                                  <w:divBdr>
                                    <w:top w:val="none" w:sz="0" w:space="0" w:color="auto"/>
                                    <w:left w:val="none" w:sz="0" w:space="0" w:color="auto"/>
                                    <w:bottom w:val="none" w:sz="0" w:space="0" w:color="auto"/>
                                    <w:right w:val="none" w:sz="0" w:space="0" w:color="auto"/>
                                  </w:divBdr>
                                  <w:divsChild>
                                    <w:div w:id="1288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494957">
      <w:bodyDiv w:val="1"/>
      <w:marLeft w:val="0"/>
      <w:marRight w:val="0"/>
      <w:marTop w:val="0"/>
      <w:marBottom w:val="0"/>
      <w:divBdr>
        <w:top w:val="none" w:sz="0" w:space="0" w:color="auto"/>
        <w:left w:val="none" w:sz="0" w:space="0" w:color="auto"/>
        <w:bottom w:val="none" w:sz="0" w:space="0" w:color="auto"/>
        <w:right w:val="none" w:sz="0" w:space="0" w:color="auto"/>
      </w:divBdr>
    </w:div>
    <w:div w:id="1608463031">
      <w:bodyDiv w:val="1"/>
      <w:marLeft w:val="0"/>
      <w:marRight w:val="0"/>
      <w:marTop w:val="0"/>
      <w:marBottom w:val="0"/>
      <w:divBdr>
        <w:top w:val="none" w:sz="0" w:space="0" w:color="auto"/>
        <w:left w:val="none" w:sz="0" w:space="0" w:color="auto"/>
        <w:bottom w:val="none" w:sz="0" w:space="0" w:color="auto"/>
        <w:right w:val="none" w:sz="0" w:space="0" w:color="auto"/>
      </w:divBdr>
    </w:div>
    <w:div w:id="1615483907">
      <w:bodyDiv w:val="1"/>
      <w:marLeft w:val="0"/>
      <w:marRight w:val="0"/>
      <w:marTop w:val="0"/>
      <w:marBottom w:val="0"/>
      <w:divBdr>
        <w:top w:val="none" w:sz="0" w:space="0" w:color="auto"/>
        <w:left w:val="none" w:sz="0" w:space="0" w:color="auto"/>
        <w:bottom w:val="none" w:sz="0" w:space="0" w:color="auto"/>
        <w:right w:val="none" w:sz="0" w:space="0" w:color="auto"/>
      </w:divBdr>
    </w:div>
    <w:div w:id="1763649720">
      <w:bodyDiv w:val="1"/>
      <w:marLeft w:val="0"/>
      <w:marRight w:val="0"/>
      <w:marTop w:val="0"/>
      <w:marBottom w:val="0"/>
      <w:divBdr>
        <w:top w:val="none" w:sz="0" w:space="0" w:color="auto"/>
        <w:left w:val="none" w:sz="0" w:space="0" w:color="auto"/>
        <w:bottom w:val="none" w:sz="0" w:space="0" w:color="auto"/>
        <w:right w:val="none" w:sz="0" w:space="0" w:color="auto"/>
      </w:divBdr>
    </w:div>
    <w:div w:id="2021614816">
      <w:bodyDiv w:val="1"/>
      <w:marLeft w:val="0"/>
      <w:marRight w:val="0"/>
      <w:marTop w:val="0"/>
      <w:marBottom w:val="0"/>
      <w:divBdr>
        <w:top w:val="none" w:sz="0" w:space="0" w:color="auto"/>
        <w:left w:val="none" w:sz="0" w:space="0" w:color="auto"/>
        <w:bottom w:val="none" w:sz="0" w:space="0" w:color="auto"/>
        <w:right w:val="none" w:sz="0" w:space="0" w:color="auto"/>
      </w:divBdr>
    </w:div>
    <w:div w:id="2082288640">
      <w:bodyDiv w:val="1"/>
      <w:marLeft w:val="0"/>
      <w:marRight w:val="0"/>
      <w:marTop w:val="0"/>
      <w:marBottom w:val="0"/>
      <w:divBdr>
        <w:top w:val="none" w:sz="0" w:space="0" w:color="auto"/>
        <w:left w:val="none" w:sz="0" w:space="0" w:color="auto"/>
        <w:bottom w:val="none" w:sz="0" w:space="0" w:color="auto"/>
        <w:right w:val="none" w:sz="0" w:space="0" w:color="auto"/>
      </w:divBdr>
      <w:divsChild>
        <w:div w:id="1575163020">
          <w:marLeft w:val="0"/>
          <w:marRight w:val="0"/>
          <w:marTop w:val="0"/>
          <w:marBottom w:val="0"/>
          <w:divBdr>
            <w:top w:val="none" w:sz="0" w:space="0" w:color="auto"/>
            <w:left w:val="none" w:sz="0" w:space="0" w:color="auto"/>
            <w:bottom w:val="none" w:sz="0" w:space="0" w:color="auto"/>
            <w:right w:val="none" w:sz="0" w:space="0" w:color="auto"/>
          </w:divBdr>
          <w:divsChild>
            <w:div w:id="610673372">
              <w:marLeft w:val="0"/>
              <w:marRight w:val="0"/>
              <w:marTop w:val="0"/>
              <w:marBottom w:val="0"/>
              <w:divBdr>
                <w:top w:val="none" w:sz="0" w:space="0" w:color="auto"/>
                <w:left w:val="none" w:sz="0" w:space="0" w:color="auto"/>
                <w:bottom w:val="none" w:sz="0" w:space="0" w:color="auto"/>
                <w:right w:val="none" w:sz="0" w:space="0" w:color="auto"/>
              </w:divBdr>
              <w:divsChild>
                <w:div w:id="1544361499">
                  <w:marLeft w:val="0"/>
                  <w:marRight w:val="0"/>
                  <w:marTop w:val="0"/>
                  <w:marBottom w:val="0"/>
                  <w:divBdr>
                    <w:top w:val="none" w:sz="0" w:space="0" w:color="auto"/>
                    <w:left w:val="none" w:sz="0" w:space="0" w:color="auto"/>
                    <w:bottom w:val="none" w:sz="0" w:space="0" w:color="auto"/>
                    <w:right w:val="none" w:sz="0" w:space="0" w:color="auto"/>
                  </w:divBdr>
                  <w:divsChild>
                    <w:div w:id="1945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087">
          <w:marLeft w:val="0"/>
          <w:marRight w:val="0"/>
          <w:marTop w:val="0"/>
          <w:marBottom w:val="0"/>
          <w:divBdr>
            <w:top w:val="none" w:sz="0" w:space="0" w:color="auto"/>
            <w:left w:val="none" w:sz="0" w:space="0" w:color="auto"/>
            <w:bottom w:val="none" w:sz="0" w:space="0" w:color="auto"/>
            <w:right w:val="none" w:sz="0" w:space="0" w:color="auto"/>
          </w:divBdr>
          <w:divsChild>
            <w:div w:id="344091213">
              <w:marLeft w:val="0"/>
              <w:marRight w:val="0"/>
              <w:marTop w:val="0"/>
              <w:marBottom w:val="0"/>
              <w:divBdr>
                <w:top w:val="none" w:sz="0" w:space="0" w:color="auto"/>
                <w:left w:val="none" w:sz="0" w:space="0" w:color="auto"/>
                <w:bottom w:val="none" w:sz="0" w:space="0" w:color="auto"/>
                <w:right w:val="none" w:sz="0" w:space="0" w:color="auto"/>
              </w:divBdr>
              <w:divsChild>
                <w:div w:id="552618">
                  <w:marLeft w:val="0"/>
                  <w:marRight w:val="0"/>
                  <w:marTop w:val="0"/>
                  <w:marBottom w:val="0"/>
                  <w:divBdr>
                    <w:top w:val="none" w:sz="0" w:space="0" w:color="auto"/>
                    <w:left w:val="none" w:sz="0" w:space="0" w:color="auto"/>
                    <w:bottom w:val="none" w:sz="0" w:space="0" w:color="auto"/>
                    <w:right w:val="none" w:sz="0" w:space="0" w:color="auto"/>
                  </w:divBdr>
                  <w:divsChild>
                    <w:div w:id="11389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implypsychology.org/big-five-persona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per0000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11929301901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canum.com/hu/online-kiadvanyok/Lexikonok-a-magyar-nyelv-szotaraczuczorfogarasi-55BEC/"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zupero\Downloads\qti_po&#769;kha&#769;lo&#769;_teache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'Munka1 (5)'!$B$2</c:f>
              <c:strCache>
                <c:ptCount val="1"/>
                <c:pt idx="0">
                  <c:v>Male</c:v>
                </c:pt>
              </c:strCache>
            </c:strRef>
          </c:tx>
          <c:spPr>
            <a:ln w="25400" cap="rnd" cmpd="sng">
              <a:solidFill>
                <a:schemeClr val="bg1">
                  <a:lumMod val="65000"/>
                </a:schemeClr>
              </a:solidFill>
              <a:round/>
              <a:headEnd type="none"/>
              <a:tailEnd type="none" w="med" len="med"/>
            </a:ln>
            <a:effectLst/>
          </c:spPr>
          <c:marker>
            <c:symbol val="none"/>
          </c:marker>
          <c:dPt>
            <c:idx val="0"/>
            <c:marker>
              <c:symbol val="none"/>
            </c:marker>
            <c:bubble3D val="0"/>
            <c:spPr>
              <a:ln w="25400" cap="rnd" cmpd="sng">
                <a:solidFill>
                  <a:schemeClr val="bg1">
                    <a:lumMod val="65000"/>
                  </a:schemeClr>
                </a:solidFill>
                <a:round/>
                <a:headEnd type="none" w="lg" len="lg"/>
                <a:tailEnd type="none" w="med" len="med"/>
              </a:ln>
              <a:effectLst/>
            </c:spPr>
            <c:extLst>
              <c:ext xmlns:c16="http://schemas.microsoft.com/office/drawing/2014/chart" uri="{C3380CC4-5D6E-409C-BE32-E72D297353CC}">
                <c16:uniqueId val="{00000001-2601-4889-B425-CE9F095C6121}"/>
              </c:ext>
            </c:extLst>
          </c:dPt>
          <c:dPt>
            <c:idx val="2"/>
            <c:marker>
              <c:symbol val="none"/>
            </c:marker>
            <c:bubble3D val="0"/>
            <c:spPr>
              <a:ln w="25400" cap="rnd" cmpd="sng">
                <a:solidFill>
                  <a:schemeClr val="bg1">
                    <a:lumMod val="65000"/>
                  </a:schemeClr>
                </a:solidFill>
                <a:round/>
                <a:headEnd type="none" w="lg" len="lg"/>
                <a:tailEnd type="none" w="med" len="med"/>
              </a:ln>
              <a:effectLst/>
            </c:spPr>
            <c:extLst>
              <c:ext xmlns:c16="http://schemas.microsoft.com/office/drawing/2014/chart" uri="{C3380CC4-5D6E-409C-BE32-E72D297353CC}">
                <c16:uniqueId val="{00000003-2601-4889-B425-CE9F095C6121}"/>
              </c:ext>
            </c:extLst>
          </c:dPt>
          <c:dPt>
            <c:idx val="3"/>
            <c:marker>
              <c:symbol val="none"/>
            </c:marker>
            <c:bubble3D val="0"/>
            <c:spPr>
              <a:ln w="25400" cap="rnd" cmpd="sng">
                <a:solidFill>
                  <a:schemeClr val="bg1">
                    <a:lumMod val="65000"/>
                  </a:schemeClr>
                </a:solidFill>
                <a:round/>
                <a:headEnd type="none" w="lg" len="lg"/>
                <a:tailEnd type="none" w="med" len="med"/>
              </a:ln>
              <a:effectLst/>
            </c:spPr>
            <c:extLst>
              <c:ext xmlns:c16="http://schemas.microsoft.com/office/drawing/2014/chart" uri="{C3380CC4-5D6E-409C-BE32-E72D297353CC}">
                <c16:uniqueId val="{00000005-2601-4889-B425-CE9F095C6121}"/>
              </c:ext>
            </c:extLst>
          </c:dPt>
          <c:dPt>
            <c:idx val="4"/>
            <c:marker>
              <c:symbol val="none"/>
            </c:marker>
            <c:bubble3D val="0"/>
            <c:spPr>
              <a:ln w="25400" cap="rnd" cmpd="sng">
                <a:solidFill>
                  <a:schemeClr val="bg1">
                    <a:lumMod val="65000"/>
                  </a:schemeClr>
                </a:solidFill>
                <a:round/>
                <a:headEnd type="none" w="lg" len="lg"/>
                <a:tailEnd type="none" w="med" len="med"/>
              </a:ln>
              <a:effectLst/>
            </c:spPr>
            <c:extLst>
              <c:ext xmlns:c16="http://schemas.microsoft.com/office/drawing/2014/chart" uri="{C3380CC4-5D6E-409C-BE32-E72D297353CC}">
                <c16:uniqueId val="{00000007-2601-4889-B425-CE9F095C6121}"/>
              </c:ext>
            </c:extLst>
          </c:dPt>
          <c:cat>
            <c:strRef>
              <c:f>'Munka1 (5)'!$A$3:$A$7</c:f>
              <c:strCache>
                <c:ptCount val="5"/>
                <c:pt idx="0">
                  <c:v>Extraversion</c:v>
                </c:pt>
                <c:pt idx="1">
                  <c:v>Agreeableness</c:v>
                </c:pt>
                <c:pt idx="2">
                  <c:v>Conscientiousness</c:v>
                </c:pt>
                <c:pt idx="3">
                  <c:v>Neuroticism</c:v>
                </c:pt>
                <c:pt idx="4">
                  <c:v>Openness</c:v>
                </c:pt>
              </c:strCache>
            </c:strRef>
          </c:cat>
          <c:val>
            <c:numRef>
              <c:f>'Munka1 (5)'!$B$3:$B$7</c:f>
              <c:numCache>
                <c:formatCode>0.00</c:formatCode>
                <c:ptCount val="5"/>
                <c:pt idx="0">
                  <c:v>2.8</c:v>
                </c:pt>
                <c:pt idx="1">
                  <c:v>45.3</c:v>
                </c:pt>
                <c:pt idx="2">
                  <c:v>30.4</c:v>
                </c:pt>
                <c:pt idx="3">
                  <c:v>10.4</c:v>
                </c:pt>
                <c:pt idx="4">
                  <c:v>11.1</c:v>
                </c:pt>
              </c:numCache>
            </c:numRef>
          </c:val>
          <c:extLst>
            <c:ext xmlns:c16="http://schemas.microsoft.com/office/drawing/2014/chart" uri="{C3380CC4-5D6E-409C-BE32-E72D297353CC}">
              <c16:uniqueId val="{00000008-2601-4889-B425-CE9F095C6121}"/>
            </c:ext>
          </c:extLst>
        </c:ser>
        <c:ser>
          <c:idx val="1"/>
          <c:order val="1"/>
          <c:tx>
            <c:strRef>
              <c:f>'Munka1 (5)'!$C$2</c:f>
              <c:strCache>
                <c:ptCount val="1"/>
                <c:pt idx="0">
                  <c:v>Female</c:v>
                </c:pt>
              </c:strCache>
            </c:strRef>
          </c:tx>
          <c:spPr>
            <a:ln w="25400" cap="rnd">
              <a:solidFill>
                <a:schemeClr val="tx1"/>
              </a:solidFill>
              <a:prstDash val="dash"/>
              <a:round/>
            </a:ln>
            <a:effectLst/>
          </c:spPr>
          <c:marker>
            <c:symbol val="none"/>
          </c:marker>
          <c:cat>
            <c:strRef>
              <c:f>'Munka1 (5)'!$A$3:$A$7</c:f>
              <c:strCache>
                <c:ptCount val="5"/>
                <c:pt idx="0">
                  <c:v>Extraversion</c:v>
                </c:pt>
                <c:pt idx="1">
                  <c:v>Agreeableness</c:v>
                </c:pt>
                <c:pt idx="2">
                  <c:v>Conscientiousness</c:v>
                </c:pt>
                <c:pt idx="3">
                  <c:v>Neuroticism</c:v>
                </c:pt>
                <c:pt idx="4">
                  <c:v>Openness</c:v>
                </c:pt>
              </c:strCache>
            </c:strRef>
          </c:cat>
          <c:val>
            <c:numRef>
              <c:f>'Munka1 (5)'!$C$3:$C$7</c:f>
              <c:numCache>
                <c:formatCode>0.00</c:formatCode>
                <c:ptCount val="5"/>
                <c:pt idx="0">
                  <c:v>4.8</c:v>
                </c:pt>
                <c:pt idx="1">
                  <c:v>46.6</c:v>
                </c:pt>
                <c:pt idx="2">
                  <c:v>30.3</c:v>
                </c:pt>
                <c:pt idx="3">
                  <c:v>10.9</c:v>
                </c:pt>
                <c:pt idx="4">
                  <c:v>7.4</c:v>
                </c:pt>
              </c:numCache>
            </c:numRef>
          </c:val>
          <c:extLst>
            <c:ext xmlns:c16="http://schemas.microsoft.com/office/drawing/2014/chart" uri="{C3380CC4-5D6E-409C-BE32-E72D297353CC}">
              <c16:uniqueId val="{00000009-2601-4889-B425-CE9F095C6121}"/>
            </c:ext>
          </c:extLst>
        </c:ser>
        <c:dLbls>
          <c:showLegendKey val="0"/>
          <c:showVal val="0"/>
          <c:showCatName val="0"/>
          <c:showSerName val="0"/>
          <c:showPercent val="0"/>
          <c:showBubbleSize val="0"/>
        </c:dLbls>
        <c:axId val="601051392"/>
        <c:axId val="601053072"/>
      </c:radarChart>
      <c:catAx>
        <c:axId val="60105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crossAx val="601053072"/>
        <c:crosses val="autoZero"/>
        <c:auto val="1"/>
        <c:lblAlgn val="ctr"/>
        <c:lblOffset val="100"/>
        <c:noMultiLvlLbl val="0"/>
      </c:catAx>
      <c:valAx>
        <c:axId val="601053072"/>
        <c:scaling>
          <c:orientation val="minMax"/>
        </c:scaling>
        <c:delete val="0"/>
        <c:axPos val="l"/>
        <c:majorGridlines>
          <c:spPr>
            <a:ln w="6350" cap="flat" cmpd="sng" algn="ctr">
              <a:solidFill>
                <a:schemeClr val="tx1"/>
              </a:solidFill>
              <a:prstDash val="dash"/>
              <a:round/>
            </a:ln>
            <a:effectLst>
              <a:glow>
                <a:schemeClr val="accent1">
                  <a:alpha val="40000"/>
                </a:schemeClr>
              </a:glow>
              <a:outerShdw sx="1000" sy="1000" algn="ctr" rotWithShape="0">
                <a:srgbClr val="000000"/>
              </a:outerShdw>
              <a:softEdge rad="0"/>
            </a:effectLst>
          </c:spPr>
        </c:majorGridlines>
        <c:numFmt formatCode="0.00"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crossAx val="601051392"/>
        <c:crosses val="autoZero"/>
        <c:crossBetween val="between"/>
      </c:valAx>
      <c:spPr>
        <a:noFill/>
        <a:ln>
          <a:noFill/>
          <a:prstDash val="sysDot"/>
          <a:beve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'Munka1 (9)'!$B$2</c:f>
              <c:strCache>
                <c:ptCount val="1"/>
                <c:pt idx="0">
                  <c:v>Slovakia</c:v>
                </c:pt>
              </c:strCache>
            </c:strRef>
          </c:tx>
          <c:spPr>
            <a:ln w="25400" cap="rnd" cmpd="sng">
              <a:solidFill>
                <a:schemeClr val="tx1"/>
              </a:solidFill>
              <a:round/>
              <a:headEnd type="none"/>
              <a:tailEnd type="none" w="med" len="med"/>
            </a:ln>
            <a:effectLst/>
          </c:spPr>
          <c:marker>
            <c:symbol val="none"/>
          </c:marker>
          <c:dPt>
            <c:idx val="0"/>
            <c:marker>
              <c:symbol val="none"/>
            </c:marker>
            <c:bubble3D val="0"/>
            <c:spPr>
              <a:ln w="25400" cap="rnd" cmpd="sng">
                <a:solidFill>
                  <a:schemeClr val="tx1"/>
                </a:solidFill>
                <a:round/>
                <a:headEnd type="none" w="lg" len="lg"/>
                <a:tailEnd type="none" w="med" len="med"/>
              </a:ln>
              <a:effectLst/>
            </c:spPr>
            <c:extLst>
              <c:ext xmlns:c16="http://schemas.microsoft.com/office/drawing/2014/chart" uri="{C3380CC4-5D6E-409C-BE32-E72D297353CC}">
                <c16:uniqueId val="{00000001-FFA3-4FD8-B2FE-B81BCDF9A286}"/>
              </c:ext>
            </c:extLst>
          </c:dPt>
          <c:dPt>
            <c:idx val="2"/>
            <c:marker>
              <c:symbol val="none"/>
            </c:marker>
            <c:bubble3D val="0"/>
            <c:spPr>
              <a:ln w="25400" cap="rnd" cmpd="sng">
                <a:solidFill>
                  <a:schemeClr val="tx1"/>
                </a:solidFill>
                <a:round/>
                <a:headEnd type="none" w="lg" len="lg"/>
                <a:tailEnd type="none" w="med" len="med"/>
              </a:ln>
              <a:effectLst/>
            </c:spPr>
            <c:extLst>
              <c:ext xmlns:c16="http://schemas.microsoft.com/office/drawing/2014/chart" uri="{C3380CC4-5D6E-409C-BE32-E72D297353CC}">
                <c16:uniqueId val="{00000003-FFA3-4FD8-B2FE-B81BCDF9A286}"/>
              </c:ext>
            </c:extLst>
          </c:dPt>
          <c:dPt>
            <c:idx val="3"/>
            <c:marker>
              <c:symbol val="none"/>
            </c:marker>
            <c:bubble3D val="0"/>
            <c:spPr>
              <a:ln w="25400" cap="rnd" cmpd="sng">
                <a:solidFill>
                  <a:schemeClr val="tx1"/>
                </a:solidFill>
                <a:round/>
                <a:headEnd type="none" w="lg" len="lg"/>
                <a:tailEnd type="none" w="med" len="med"/>
              </a:ln>
              <a:effectLst/>
            </c:spPr>
            <c:extLst>
              <c:ext xmlns:c16="http://schemas.microsoft.com/office/drawing/2014/chart" uri="{C3380CC4-5D6E-409C-BE32-E72D297353CC}">
                <c16:uniqueId val="{00000005-FFA3-4FD8-B2FE-B81BCDF9A286}"/>
              </c:ext>
            </c:extLst>
          </c:dPt>
          <c:dPt>
            <c:idx val="4"/>
            <c:marker>
              <c:symbol val="none"/>
            </c:marker>
            <c:bubble3D val="0"/>
            <c:spPr>
              <a:ln w="25400" cap="rnd" cmpd="sng">
                <a:solidFill>
                  <a:schemeClr val="tx1"/>
                </a:solidFill>
                <a:round/>
                <a:headEnd type="none" w="lg" len="lg"/>
                <a:tailEnd type="none" w="med" len="med"/>
              </a:ln>
              <a:effectLst/>
            </c:spPr>
            <c:extLst>
              <c:ext xmlns:c16="http://schemas.microsoft.com/office/drawing/2014/chart" uri="{C3380CC4-5D6E-409C-BE32-E72D297353CC}">
                <c16:uniqueId val="{00000007-FFA3-4FD8-B2FE-B81BCDF9A286}"/>
              </c:ext>
            </c:extLst>
          </c:dPt>
          <c:cat>
            <c:strRef>
              <c:f>'Munka1 (9)'!$A$3:$A$7</c:f>
              <c:strCache>
                <c:ptCount val="5"/>
                <c:pt idx="0">
                  <c:v>Extraversion</c:v>
                </c:pt>
                <c:pt idx="1">
                  <c:v>Agreeableness</c:v>
                </c:pt>
                <c:pt idx="2">
                  <c:v>Conscientiousness</c:v>
                </c:pt>
                <c:pt idx="3">
                  <c:v>Neuroticism</c:v>
                </c:pt>
                <c:pt idx="4">
                  <c:v>Openness</c:v>
                </c:pt>
              </c:strCache>
            </c:strRef>
          </c:cat>
          <c:val>
            <c:numRef>
              <c:f>'Munka1 (9)'!$B$3:$B$7</c:f>
              <c:numCache>
                <c:formatCode>0.0%</c:formatCode>
                <c:ptCount val="5"/>
                <c:pt idx="0">
                  <c:v>3.6307053941908717E-2</c:v>
                </c:pt>
                <c:pt idx="1">
                  <c:v>0.46784232365145229</c:v>
                </c:pt>
                <c:pt idx="2">
                  <c:v>0.29979253112033194</c:v>
                </c:pt>
                <c:pt idx="3">
                  <c:v>0.11203319502074689</c:v>
                </c:pt>
                <c:pt idx="4">
                  <c:v>8.4024896265560173E-2</c:v>
                </c:pt>
              </c:numCache>
            </c:numRef>
          </c:val>
          <c:extLst>
            <c:ext xmlns:c16="http://schemas.microsoft.com/office/drawing/2014/chart" uri="{C3380CC4-5D6E-409C-BE32-E72D297353CC}">
              <c16:uniqueId val="{00000008-FFA3-4FD8-B2FE-B81BCDF9A286}"/>
            </c:ext>
          </c:extLst>
        </c:ser>
        <c:ser>
          <c:idx val="1"/>
          <c:order val="1"/>
          <c:tx>
            <c:strRef>
              <c:f>'Munka1 (9)'!$C$2</c:f>
              <c:strCache>
                <c:ptCount val="1"/>
                <c:pt idx="0">
                  <c:v>Hungary</c:v>
                </c:pt>
              </c:strCache>
            </c:strRef>
          </c:tx>
          <c:spPr>
            <a:ln w="25400" cap="rnd">
              <a:solidFill>
                <a:schemeClr val="tx1"/>
              </a:solidFill>
              <a:prstDash val="dash"/>
              <a:round/>
            </a:ln>
            <a:effectLst/>
          </c:spPr>
          <c:marker>
            <c:symbol val="none"/>
          </c:marker>
          <c:cat>
            <c:strRef>
              <c:f>'Munka1 (9)'!$A$3:$A$7</c:f>
              <c:strCache>
                <c:ptCount val="5"/>
                <c:pt idx="0">
                  <c:v>Extraversion</c:v>
                </c:pt>
                <c:pt idx="1">
                  <c:v>Agreeableness</c:v>
                </c:pt>
                <c:pt idx="2">
                  <c:v>Conscientiousness</c:v>
                </c:pt>
                <c:pt idx="3">
                  <c:v>Neuroticism</c:v>
                </c:pt>
                <c:pt idx="4">
                  <c:v>Openness</c:v>
                </c:pt>
              </c:strCache>
            </c:strRef>
          </c:cat>
          <c:val>
            <c:numRef>
              <c:f>'Munka1 (9)'!$C$3:$C$7</c:f>
              <c:numCache>
                <c:formatCode>0.0%</c:formatCode>
                <c:ptCount val="5"/>
                <c:pt idx="0">
                  <c:v>5.5865921787709494E-2</c:v>
                </c:pt>
                <c:pt idx="1">
                  <c:v>0.48603351955307261</c:v>
                </c:pt>
                <c:pt idx="2">
                  <c:v>0.30726256983240224</c:v>
                </c:pt>
                <c:pt idx="3">
                  <c:v>7.8212290502793297E-2</c:v>
                </c:pt>
                <c:pt idx="4">
                  <c:v>7.2625698324022353E-2</c:v>
                </c:pt>
              </c:numCache>
            </c:numRef>
          </c:val>
          <c:extLst>
            <c:ext xmlns:c16="http://schemas.microsoft.com/office/drawing/2014/chart" uri="{C3380CC4-5D6E-409C-BE32-E72D297353CC}">
              <c16:uniqueId val="{00000009-FFA3-4FD8-B2FE-B81BCDF9A286}"/>
            </c:ext>
          </c:extLst>
        </c:ser>
        <c:ser>
          <c:idx val="2"/>
          <c:order val="2"/>
          <c:tx>
            <c:strRef>
              <c:f>'Munka1 (9)'!$D$2</c:f>
              <c:strCache>
                <c:ptCount val="1"/>
                <c:pt idx="0">
                  <c:v>Romania</c:v>
                </c:pt>
              </c:strCache>
            </c:strRef>
          </c:tx>
          <c:spPr>
            <a:ln w="28575" cap="rnd">
              <a:solidFill>
                <a:schemeClr val="accent3"/>
              </a:solidFill>
              <a:round/>
            </a:ln>
            <a:effectLst/>
          </c:spPr>
          <c:marker>
            <c:symbol val="none"/>
          </c:marker>
          <c:cat>
            <c:strRef>
              <c:f>'Munka1 (9)'!$A$3:$A$7</c:f>
              <c:strCache>
                <c:ptCount val="5"/>
                <c:pt idx="0">
                  <c:v>Extraversion</c:v>
                </c:pt>
                <c:pt idx="1">
                  <c:v>Agreeableness</c:v>
                </c:pt>
                <c:pt idx="2">
                  <c:v>Conscientiousness</c:v>
                </c:pt>
                <c:pt idx="3">
                  <c:v>Neuroticism</c:v>
                </c:pt>
                <c:pt idx="4">
                  <c:v>Openness</c:v>
                </c:pt>
              </c:strCache>
            </c:strRef>
          </c:cat>
          <c:val>
            <c:numRef>
              <c:f>'Munka1 (9)'!$D$3:$D$7</c:f>
              <c:numCache>
                <c:formatCode>0.0%</c:formatCode>
                <c:ptCount val="5"/>
                <c:pt idx="0">
                  <c:v>4.5112781954887216E-2</c:v>
                </c:pt>
                <c:pt idx="1">
                  <c:v>0.45112781954887216</c:v>
                </c:pt>
                <c:pt idx="2">
                  <c:v>0.3007518796992481</c:v>
                </c:pt>
                <c:pt idx="3">
                  <c:v>8.2706766917293228E-2</c:v>
                </c:pt>
                <c:pt idx="4">
                  <c:v>0.12030075187969924</c:v>
                </c:pt>
              </c:numCache>
            </c:numRef>
          </c:val>
          <c:extLst>
            <c:ext xmlns:c16="http://schemas.microsoft.com/office/drawing/2014/chart" uri="{C3380CC4-5D6E-409C-BE32-E72D297353CC}">
              <c16:uniqueId val="{0000000A-FFA3-4FD8-B2FE-B81BCDF9A286}"/>
            </c:ext>
          </c:extLst>
        </c:ser>
        <c:ser>
          <c:idx val="3"/>
          <c:order val="3"/>
          <c:tx>
            <c:strRef>
              <c:f>'Munka1 (9)'!$E$2</c:f>
              <c:strCache>
                <c:ptCount val="1"/>
                <c:pt idx="0">
                  <c:v>Ukraine</c:v>
                </c:pt>
              </c:strCache>
            </c:strRef>
          </c:tx>
          <c:spPr>
            <a:ln w="28575" cap="rnd">
              <a:solidFill>
                <a:schemeClr val="accent4"/>
              </a:solidFill>
              <a:round/>
            </a:ln>
            <a:effectLst/>
          </c:spPr>
          <c:marker>
            <c:symbol val="none"/>
          </c:marker>
          <c:cat>
            <c:strRef>
              <c:f>'Munka1 (9)'!$A$3:$A$7</c:f>
              <c:strCache>
                <c:ptCount val="5"/>
                <c:pt idx="0">
                  <c:v>Extraversion</c:v>
                </c:pt>
                <c:pt idx="1">
                  <c:v>Agreeableness</c:v>
                </c:pt>
                <c:pt idx="2">
                  <c:v>Conscientiousness</c:v>
                </c:pt>
                <c:pt idx="3">
                  <c:v>Neuroticism</c:v>
                </c:pt>
                <c:pt idx="4">
                  <c:v>Openness</c:v>
                </c:pt>
              </c:strCache>
            </c:strRef>
          </c:cat>
          <c:val>
            <c:numRef>
              <c:f>'Munka1 (9)'!$E$3:$E$7</c:f>
              <c:numCache>
                <c:formatCode>0.0%</c:formatCode>
                <c:ptCount val="5"/>
                <c:pt idx="0">
                  <c:v>4.2553191489361701E-2</c:v>
                </c:pt>
                <c:pt idx="1">
                  <c:v>0.34042553191489361</c:v>
                </c:pt>
                <c:pt idx="2">
                  <c:v>0.36170212765957449</c:v>
                </c:pt>
                <c:pt idx="3">
                  <c:v>0.1276595744680851</c:v>
                </c:pt>
                <c:pt idx="4">
                  <c:v>0.1276595744680851</c:v>
                </c:pt>
              </c:numCache>
            </c:numRef>
          </c:val>
          <c:extLst>
            <c:ext xmlns:c16="http://schemas.microsoft.com/office/drawing/2014/chart" uri="{C3380CC4-5D6E-409C-BE32-E72D297353CC}">
              <c16:uniqueId val="{0000000B-FFA3-4FD8-B2FE-B81BCDF9A286}"/>
            </c:ext>
          </c:extLst>
        </c:ser>
        <c:ser>
          <c:idx val="4"/>
          <c:order val="4"/>
          <c:tx>
            <c:strRef>
              <c:f>'Munka1 (9)'!$F$2</c:f>
              <c:strCache>
                <c:ptCount val="1"/>
                <c:pt idx="0">
                  <c:v>Serbia</c:v>
                </c:pt>
              </c:strCache>
            </c:strRef>
          </c:tx>
          <c:spPr>
            <a:ln w="28575" cap="rnd">
              <a:solidFill>
                <a:schemeClr val="accent5"/>
              </a:solidFill>
              <a:round/>
            </a:ln>
            <a:effectLst/>
          </c:spPr>
          <c:marker>
            <c:symbol val="none"/>
          </c:marker>
          <c:cat>
            <c:strRef>
              <c:f>'Munka1 (9)'!$A$3:$A$7</c:f>
              <c:strCache>
                <c:ptCount val="5"/>
                <c:pt idx="0">
                  <c:v>Extraversion</c:v>
                </c:pt>
                <c:pt idx="1">
                  <c:v>Agreeableness</c:v>
                </c:pt>
                <c:pt idx="2">
                  <c:v>Conscientiousness</c:v>
                </c:pt>
                <c:pt idx="3">
                  <c:v>Neuroticism</c:v>
                </c:pt>
                <c:pt idx="4">
                  <c:v>Openness</c:v>
                </c:pt>
              </c:strCache>
            </c:strRef>
          </c:cat>
          <c:val>
            <c:numRef>
              <c:f>'Munka1 (9)'!$F$3:$F$7</c:f>
              <c:numCache>
                <c:formatCode>0.0%</c:formatCode>
                <c:ptCount val="5"/>
                <c:pt idx="0">
                  <c:v>5.7553956834532377E-2</c:v>
                </c:pt>
                <c:pt idx="1">
                  <c:v>0.48201438848920863</c:v>
                </c:pt>
                <c:pt idx="2">
                  <c:v>0.28776978417266186</c:v>
                </c:pt>
                <c:pt idx="3">
                  <c:v>0.1223021582733813</c:v>
                </c:pt>
                <c:pt idx="4">
                  <c:v>5.0359712230215826E-2</c:v>
                </c:pt>
              </c:numCache>
            </c:numRef>
          </c:val>
          <c:extLst>
            <c:ext xmlns:c16="http://schemas.microsoft.com/office/drawing/2014/chart" uri="{C3380CC4-5D6E-409C-BE32-E72D297353CC}">
              <c16:uniqueId val="{0000000C-FFA3-4FD8-B2FE-B81BCDF9A286}"/>
            </c:ext>
          </c:extLst>
        </c:ser>
        <c:dLbls>
          <c:showLegendKey val="0"/>
          <c:showVal val="0"/>
          <c:showCatName val="0"/>
          <c:showSerName val="0"/>
          <c:showPercent val="0"/>
          <c:showBubbleSize val="0"/>
        </c:dLbls>
        <c:axId val="601051392"/>
        <c:axId val="601053072"/>
      </c:radarChart>
      <c:catAx>
        <c:axId val="60105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crossAx val="601053072"/>
        <c:crosses val="autoZero"/>
        <c:auto val="1"/>
        <c:lblAlgn val="ctr"/>
        <c:lblOffset val="100"/>
        <c:noMultiLvlLbl val="0"/>
      </c:catAx>
      <c:valAx>
        <c:axId val="601053072"/>
        <c:scaling>
          <c:orientation val="minMax"/>
        </c:scaling>
        <c:delete val="0"/>
        <c:axPos val="l"/>
        <c:majorGridlines>
          <c:spPr>
            <a:ln w="6350" cap="flat" cmpd="sng" algn="ctr">
              <a:solidFill>
                <a:schemeClr val="tx1"/>
              </a:solidFill>
              <a:prstDash val="dash"/>
              <a:round/>
            </a:ln>
            <a:effectLst>
              <a:glow>
                <a:schemeClr val="accent1">
                  <a:alpha val="40000"/>
                </a:schemeClr>
              </a:glow>
              <a:outerShdw sx="1000" sy="1000" algn="ctr" rotWithShape="0">
                <a:srgbClr val="000000"/>
              </a:outerShdw>
              <a:softEdge rad="0"/>
            </a:effectLst>
          </c:spPr>
        </c:majorGridlines>
        <c:numFmt formatCode="0.0%"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crossAx val="601051392"/>
        <c:crosses val="autoZero"/>
        <c:crossBetween val="between"/>
      </c:valAx>
      <c:spPr>
        <a:noFill/>
        <a:ln>
          <a:noFill/>
          <a:prstDash val="sysDot"/>
          <a:beve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FE12-C819-4A34-87C1-7948AA4C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5039</Words>
  <Characters>31649</Characters>
  <Application>Microsoft Office Word</Application>
  <DocSecurity>0</DocSecurity>
  <Lines>1582</Lines>
  <Paragraphs>1048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László Dávid Szabó</cp:lastModifiedBy>
  <cp:revision>2</cp:revision>
  <dcterms:created xsi:type="dcterms:W3CDTF">2024-12-19T11:44:00Z</dcterms:created>
  <dcterms:modified xsi:type="dcterms:W3CDTF">2024-12-19T11:44:00Z</dcterms:modified>
</cp:coreProperties>
</file>