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F59" w:rsidRDefault="00955F59" w:rsidP="00955F59">
      <w:pPr>
        <w:pStyle w:val="ListParagraph"/>
        <w:shd w:val="clear" w:color="auto" w:fill="FFFFFF"/>
        <w:spacing w:after="120" w:line="240" w:lineRule="auto"/>
        <w:ind w:left="170" w:right="170"/>
        <w:jc w:val="center"/>
        <w:outlineLvl w:val="1"/>
        <w:rPr>
          <w:rFonts w:ascii="Times New Roman" w:hAnsi="Times New Roman" w:cs="Times New Roman"/>
          <w:b/>
          <w:sz w:val="32"/>
          <w:szCs w:val="32"/>
        </w:rPr>
      </w:pPr>
      <w:r w:rsidRPr="00955F59">
        <w:rPr>
          <w:rFonts w:ascii="Times New Roman" w:hAnsi="Times New Roman" w:cs="Times New Roman"/>
          <w:b/>
          <w:sz w:val="32"/>
          <w:szCs w:val="32"/>
        </w:rPr>
        <w:t>Reliability and Validity of the Intention to Teach Inclusive Classroom:</w:t>
      </w:r>
      <w:r>
        <w:rPr>
          <w:rFonts w:ascii="Times New Roman" w:hAnsi="Times New Roman" w:cs="Times New Roman"/>
          <w:b/>
          <w:sz w:val="32"/>
          <w:szCs w:val="32"/>
        </w:rPr>
        <w:t xml:space="preserve"> </w:t>
      </w:r>
      <w:r w:rsidRPr="00955F59">
        <w:rPr>
          <w:rFonts w:ascii="Times New Roman" w:hAnsi="Times New Roman" w:cs="Times New Roman"/>
          <w:b/>
          <w:sz w:val="32"/>
          <w:szCs w:val="32"/>
        </w:rPr>
        <w:t>A Cross-validation Study in Hong Kong</w:t>
      </w:r>
    </w:p>
    <w:p w:rsidR="00955F59" w:rsidRDefault="00955F59" w:rsidP="00955F59">
      <w:pPr>
        <w:pStyle w:val="ListParagraph"/>
        <w:shd w:val="clear" w:color="auto" w:fill="FFFFFF"/>
        <w:spacing w:after="120" w:line="240" w:lineRule="auto"/>
        <w:ind w:left="170" w:right="170"/>
        <w:jc w:val="center"/>
        <w:outlineLvl w:val="1"/>
        <w:rPr>
          <w:rFonts w:ascii="Times New Roman" w:hAnsi="Times New Roman" w:cs="Times New Roman"/>
          <w:b/>
          <w:sz w:val="32"/>
          <w:szCs w:val="32"/>
        </w:rPr>
      </w:pPr>
    </w:p>
    <w:p w:rsidR="00955F59" w:rsidRPr="00C019F1" w:rsidRDefault="00955F59" w:rsidP="00955F59">
      <w:pPr>
        <w:pStyle w:val="Title"/>
        <w:framePr w:w="0" w:hSpace="0" w:vSpace="0" w:wrap="auto" w:vAnchor="margin" w:hAnchor="text" w:xAlign="left" w:yAlign="inline"/>
        <w:shd w:val="clear" w:color="auto" w:fill="FFFFFF"/>
        <w:spacing w:before="240" w:line="460" w:lineRule="exact"/>
        <w:rPr>
          <w:b/>
          <w:caps/>
          <w:sz w:val="24"/>
          <w:szCs w:val="24"/>
        </w:rPr>
      </w:pPr>
      <w:r w:rsidRPr="00C019F1">
        <w:rPr>
          <w:b/>
          <w:sz w:val="24"/>
          <w:szCs w:val="24"/>
        </w:rPr>
        <w:t>Hoi Nga NG</w:t>
      </w:r>
      <w:r w:rsidRPr="00C019F1">
        <w:rPr>
          <w:b/>
          <w:sz w:val="24"/>
          <w:szCs w:val="24"/>
          <w:vertAlign w:val="superscript"/>
        </w:rPr>
        <w:t>1,*</w:t>
      </w:r>
      <w:r w:rsidRPr="00C019F1">
        <w:rPr>
          <w:b/>
          <w:sz w:val="24"/>
          <w:szCs w:val="24"/>
        </w:rPr>
        <w:t>, Kam Weng BOEY</w:t>
      </w:r>
      <w:r w:rsidRPr="00C019F1">
        <w:rPr>
          <w:b/>
          <w:sz w:val="24"/>
          <w:szCs w:val="24"/>
          <w:vertAlign w:val="superscript"/>
        </w:rPr>
        <w:t>1, 2</w:t>
      </w:r>
      <w:r w:rsidRPr="00C019F1">
        <w:rPr>
          <w:b/>
          <w:sz w:val="24"/>
          <w:szCs w:val="24"/>
        </w:rPr>
        <w:t>, Chi Wai KWAN</w:t>
      </w:r>
      <w:r w:rsidRPr="00C019F1">
        <w:rPr>
          <w:b/>
          <w:sz w:val="24"/>
          <w:szCs w:val="24"/>
          <w:vertAlign w:val="superscript"/>
        </w:rPr>
        <w:t>3</w:t>
      </w:r>
    </w:p>
    <w:p w:rsidR="00955F59" w:rsidRPr="00C019F1" w:rsidRDefault="00955F59" w:rsidP="00955F59">
      <w:pPr>
        <w:pStyle w:val="TTPAddress"/>
        <w:shd w:val="clear" w:color="auto" w:fill="FFFFFF"/>
        <w:spacing w:before="240" w:line="260" w:lineRule="exact"/>
        <w:ind w:firstLine="0"/>
        <w:rPr>
          <w:rFonts w:ascii="Times New Roman" w:hAnsi="Times New Roman"/>
          <w:szCs w:val="22"/>
        </w:rPr>
      </w:pPr>
      <w:r w:rsidRPr="00C019F1">
        <w:rPr>
          <w:rFonts w:ascii="Times New Roman" w:hAnsi="Times New Roman"/>
          <w:szCs w:val="22"/>
          <w:vertAlign w:val="superscript"/>
        </w:rPr>
        <w:t>1</w:t>
      </w:r>
      <w:r w:rsidRPr="00C019F1">
        <w:rPr>
          <w:rFonts w:ascii="Times New Roman" w:hAnsi="Times New Roman"/>
          <w:szCs w:val="22"/>
        </w:rPr>
        <w:t>Research Unit of love, marriage and Family, Caritas Institute of Higher Education, China</w:t>
      </w:r>
    </w:p>
    <w:p w:rsidR="00955F59" w:rsidRPr="00C019F1" w:rsidRDefault="00955F59" w:rsidP="00955F59">
      <w:pPr>
        <w:pStyle w:val="TTPAddress"/>
        <w:shd w:val="clear" w:color="auto" w:fill="FFFFFF"/>
        <w:spacing w:before="0" w:line="260" w:lineRule="exact"/>
        <w:ind w:firstLine="0"/>
        <w:rPr>
          <w:rFonts w:ascii="Times New Roman" w:hAnsi="Times New Roman"/>
          <w:szCs w:val="22"/>
        </w:rPr>
      </w:pPr>
      <w:r w:rsidRPr="00C019F1">
        <w:rPr>
          <w:rFonts w:ascii="Times New Roman" w:hAnsi="Times New Roman"/>
          <w:szCs w:val="22"/>
          <w:vertAlign w:val="superscript"/>
        </w:rPr>
        <w:t>2</w:t>
      </w:r>
      <w:r w:rsidRPr="00C019F1">
        <w:rPr>
          <w:rFonts w:ascii="Times New Roman" w:hAnsi="Times New Roman"/>
          <w:szCs w:val="22"/>
        </w:rPr>
        <w:t>Departnebt of Social Work &amp; Social Administration, The University of Hong Kong, China</w:t>
      </w:r>
    </w:p>
    <w:p w:rsidR="00955F59" w:rsidRPr="00C019F1" w:rsidRDefault="00955F59" w:rsidP="00955F59">
      <w:pPr>
        <w:pStyle w:val="TTPAddress"/>
        <w:shd w:val="clear" w:color="auto" w:fill="FFFFFF"/>
        <w:spacing w:before="0" w:line="260" w:lineRule="exact"/>
        <w:ind w:firstLine="0"/>
        <w:rPr>
          <w:rFonts w:ascii="Times New Roman" w:hAnsi="Times New Roman"/>
          <w:szCs w:val="22"/>
        </w:rPr>
      </w:pPr>
      <w:r w:rsidRPr="00C019F1">
        <w:rPr>
          <w:rFonts w:ascii="Times New Roman" w:hAnsi="Times New Roman"/>
          <w:sz w:val="24"/>
          <w:szCs w:val="22"/>
          <w:vertAlign w:val="superscript"/>
        </w:rPr>
        <w:t>3</w:t>
      </w:r>
      <w:r w:rsidRPr="00C019F1">
        <w:rPr>
          <w:rFonts w:ascii="Times New Roman" w:hAnsi="Times New Roman"/>
          <w:szCs w:val="22"/>
        </w:rPr>
        <w:t>Department of Statistics &amp; Actuarial Science, The University of Hong Kong, China</w:t>
      </w:r>
    </w:p>
    <w:p w:rsidR="00955F59" w:rsidRPr="00C019F1" w:rsidRDefault="00955F59" w:rsidP="00955F59">
      <w:pPr>
        <w:shd w:val="clear" w:color="auto" w:fill="FFFFFF"/>
        <w:spacing w:after="0" w:line="260" w:lineRule="exact"/>
        <w:jc w:val="both"/>
        <w:rPr>
          <w:rFonts w:ascii="Times New Roman" w:hAnsi="Times New Roman"/>
        </w:rPr>
      </w:pPr>
      <w:r w:rsidRPr="00C019F1">
        <w:rPr>
          <w:rStyle w:val="st1"/>
          <w:rFonts w:ascii="Times New Roman" w:hAnsi="Times New Roman"/>
          <w:color w:val="000000" w:themeColor="text1"/>
          <w:lang w:val="en-HK"/>
        </w:rPr>
        <w:t xml:space="preserve">    </w:t>
      </w:r>
      <w:r>
        <w:rPr>
          <w:rStyle w:val="st1"/>
          <w:rFonts w:ascii="Times New Roman" w:hAnsi="Times New Roman"/>
          <w:color w:val="000000" w:themeColor="text1"/>
          <w:lang w:val="en-HK"/>
        </w:rPr>
        <w:t xml:space="preserve">                     </w:t>
      </w:r>
      <w:r w:rsidRPr="00C019F1">
        <w:rPr>
          <w:rStyle w:val="st1"/>
          <w:rFonts w:ascii="Times New Roman" w:hAnsi="Times New Roman"/>
          <w:color w:val="000000" w:themeColor="text1"/>
          <w:lang w:val="en-HK"/>
        </w:rPr>
        <w:t xml:space="preserve">    Email address</w:t>
      </w:r>
      <w:r w:rsidRPr="00AA224B">
        <w:rPr>
          <w:rStyle w:val="st1"/>
          <w:rFonts w:ascii="Times New Roman" w:hAnsi="Times New Roman"/>
          <w:color w:val="000000" w:themeColor="text1"/>
          <w:lang w:val="en-HK"/>
        </w:rPr>
        <w:t xml:space="preserve">: </w:t>
      </w:r>
      <w:hyperlink r:id="rId6" w:history="1">
        <w:r w:rsidRPr="00AA224B">
          <w:rPr>
            <w:rStyle w:val="Hyperlink"/>
            <w:rFonts w:ascii="Times New Roman" w:hAnsi="Times New Roman"/>
            <w:color w:val="000000" w:themeColor="text1"/>
            <w:u w:val="none"/>
            <w:vertAlign w:val="superscript"/>
            <w:lang w:val="en-HK"/>
          </w:rPr>
          <w:t>1</w:t>
        </w:r>
        <w:r w:rsidRPr="00AA224B">
          <w:rPr>
            <w:rStyle w:val="Hyperlink"/>
            <w:rFonts w:ascii="Times New Roman" w:hAnsi="Times New Roman"/>
            <w:color w:val="000000" w:themeColor="text1"/>
            <w:u w:val="none"/>
            <w:lang w:val="en-HK"/>
          </w:rPr>
          <w:t>hnng@cihe.edu.hk</w:t>
        </w:r>
      </w:hyperlink>
      <w:r w:rsidRPr="00AA224B">
        <w:rPr>
          <w:rStyle w:val="st1"/>
          <w:rFonts w:ascii="Times New Roman" w:hAnsi="Times New Roman"/>
          <w:color w:val="000000" w:themeColor="text1"/>
          <w:lang w:val="en-HK"/>
        </w:rPr>
        <w:t xml:space="preserve">; </w:t>
      </w:r>
      <w:hyperlink r:id="rId7" w:history="1">
        <w:r w:rsidRPr="00AA224B">
          <w:rPr>
            <w:rStyle w:val="Hyperlink"/>
            <w:rFonts w:ascii="Times New Roman" w:hAnsi="Times New Roman"/>
            <w:color w:val="000000" w:themeColor="text1"/>
            <w:u w:val="none"/>
            <w:vertAlign w:val="superscript"/>
            <w:lang w:val="en-HK"/>
          </w:rPr>
          <w:t>2</w:t>
        </w:r>
        <w:r w:rsidRPr="00AA224B">
          <w:rPr>
            <w:rStyle w:val="Hyperlink"/>
            <w:rFonts w:ascii="Times New Roman" w:hAnsi="Times New Roman"/>
            <w:color w:val="000000" w:themeColor="text1"/>
            <w:u w:val="none"/>
            <w:lang w:val="en-HK"/>
          </w:rPr>
          <w:t>kwboey@hku.hk</w:t>
        </w:r>
      </w:hyperlink>
      <w:r w:rsidRPr="00AA224B">
        <w:rPr>
          <w:rStyle w:val="st1"/>
          <w:rFonts w:ascii="Times New Roman" w:hAnsi="Times New Roman"/>
          <w:color w:val="000000" w:themeColor="text1"/>
          <w:lang w:val="en-HK"/>
        </w:rPr>
        <w:t xml:space="preserve">; </w:t>
      </w:r>
      <w:hyperlink r:id="rId8" w:history="1">
        <w:r w:rsidRPr="00AA224B">
          <w:rPr>
            <w:rStyle w:val="Hyperlink"/>
            <w:rFonts w:ascii="Times New Roman" w:hAnsi="Times New Roman"/>
            <w:color w:val="000000" w:themeColor="text1"/>
            <w:u w:val="none"/>
            <w:vertAlign w:val="superscript"/>
            <w:lang w:val="en-HK"/>
          </w:rPr>
          <w:t>3</w:t>
        </w:r>
        <w:r w:rsidRPr="00AA224B">
          <w:rPr>
            <w:rStyle w:val="Hyperlink"/>
            <w:rFonts w:ascii="Times New Roman" w:hAnsi="Times New Roman"/>
            <w:color w:val="000000" w:themeColor="text1"/>
            <w:u w:val="none"/>
            <w:lang w:val="en-HK"/>
          </w:rPr>
          <w:t>cwkwan@hku.hk</w:t>
        </w:r>
      </w:hyperlink>
    </w:p>
    <w:p w:rsidR="00955F59" w:rsidRPr="00C019F1" w:rsidRDefault="00955F59" w:rsidP="00955F59">
      <w:pPr>
        <w:shd w:val="clear" w:color="auto" w:fill="FFFFFF"/>
        <w:spacing w:after="0"/>
        <w:ind w:firstLineChars="500" w:firstLine="1100"/>
        <w:rPr>
          <w:rFonts w:ascii="Times New Roman" w:hAnsi="Times New Roman"/>
        </w:rPr>
      </w:pPr>
      <w:r w:rsidRPr="00C019F1">
        <w:rPr>
          <w:rFonts w:ascii="Times New Roman" w:hAnsi="Times New Roman"/>
        </w:rPr>
        <w:t xml:space="preserve">             </w:t>
      </w:r>
      <w:r>
        <w:rPr>
          <w:rFonts w:ascii="Times New Roman" w:hAnsi="Times New Roman"/>
        </w:rPr>
        <w:t xml:space="preserve">                              </w:t>
      </w:r>
      <w:r w:rsidRPr="00C019F1">
        <w:rPr>
          <w:rFonts w:ascii="Times New Roman" w:hAnsi="Times New Roman"/>
        </w:rPr>
        <w:t xml:space="preserve">  *Corresponding author</w:t>
      </w:r>
    </w:p>
    <w:p w:rsidR="00955F59" w:rsidRDefault="00955F59" w:rsidP="00955F59">
      <w:pPr>
        <w:pStyle w:val="ListParagraph"/>
        <w:shd w:val="clear" w:color="auto" w:fill="FFFFFF"/>
        <w:spacing w:after="120" w:line="240" w:lineRule="auto"/>
        <w:ind w:left="170" w:right="170"/>
        <w:jc w:val="both"/>
        <w:outlineLvl w:val="1"/>
        <w:rPr>
          <w:rFonts w:ascii="Times New Roman" w:hAnsi="Times New Roman" w:cs="Times New Roman"/>
          <w:b/>
          <w:sz w:val="24"/>
          <w:szCs w:val="24"/>
        </w:rPr>
      </w:pPr>
    </w:p>
    <w:p w:rsidR="00955F59" w:rsidRDefault="00955F59" w:rsidP="00955F59">
      <w:pPr>
        <w:pStyle w:val="ListParagraph"/>
        <w:shd w:val="clear" w:color="auto" w:fill="FFFFFF"/>
        <w:spacing w:after="120" w:line="240" w:lineRule="auto"/>
        <w:ind w:left="170" w:right="170"/>
        <w:jc w:val="both"/>
        <w:outlineLvl w:val="1"/>
        <w:rPr>
          <w:rFonts w:ascii="Times New Roman" w:hAnsi="Times New Roman" w:cs="Times New Roman"/>
          <w:b/>
          <w:sz w:val="24"/>
          <w:szCs w:val="24"/>
        </w:rPr>
      </w:pPr>
    </w:p>
    <w:p w:rsidR="00955F59" w:rsidRDefault="00955F59" w:rsidP="00955F59">
      <w:pPr>
        <w:pStyle w:val="ListParagraph"/>
        <w:shd w:val="clear" w:color="auto" w:fill="FFFFFF"/>
        <w:spacing w:after="120" w:line="240" w:lineRule="auto"/>
        <w:ind w:left="170" w:right="170"/>
        <w:jc w:val="both"/>
        <w:outlineLvl w:val="1"/>
        <w:rPr>
          <w:rFonts w:ascii="Times New Roman" w:hAnsi="Times New Roman" w:cs="Times New Roman"/>
          <w:b/>
          <w:sz w:val="24"/>
          <w:szCs w:val="24"/>
        </w:rPr>
      </w:pPr>
    </w:p>
    <w:p w:rsidR="00955F59" w:rsidRDefault="00955F59" w:rsidP="00955F59">
      <w:pPr>
        <w:pStyle w:val="ListParagraph"/>
        <w:shd w:val="clear" w:color="auto" w:fill="FFFFFF"/>
        <w:spacing w:after="120" w:line="240" w:lineRule="auto"/>
        <w:ind w:left="170" w:right="170"/>
        <w:jc w:val="both"/>
        <w:outlineLvl w:val="1"/>
        <w:rPr>
          <w:rFonts w:ascii="Times New Roman" w:hAnsi="Times New Roman" w:cs="Times New Roman"/>
          <w:i/>
          <w:sz w:val="24"/>
          <w:szCs w:val="24"/>
        </w:rPr>
      </w:pPr>
      <w:r w:rsidRPr="001150CE">
        <w:rPr>
          <w:rFonts w:ascii="Times New Roman" w:hAnsi="Times New Roman" w:cs="Times New Roman"/>
          <w:b/>
          <w:sz w:val="24"/>
          <w:szCs w:val="24"/>
        </w:rPr>
        <w:t>Abstract</w:t>
      </w:r>
      <w:r>
        <w:rPr>
          <w:rFonts w:ascii="Times New Roman" w:hAnsi="Times New Roman" w:cs="Times New Roman"/>
          <w:b/>
          <w:sz w:val="24"/>
          <w:szCs w:val="24"/>
        </w:rPr>
        <w:t xml:space="preserve">: </w:t>
      </w:r>
      <w:r>
        <w:rPr>
          <w:rFonts w:ascii="Times New Roman" w:hAnsi="Times New Roman" w:cs="Times New Roman"/>
          <w:i/>
          <w:sz w:val="24"/>
          <w:szCs w:val="24"/>
        </w:rPr>
        <w:t xml:space="preserve"> </w:t>
      </w:r>
    </w:p>
    <w:p w:rsidR="00955F59" w:rsidRDefault="00955F59" w:rsidP="00955F59">
      <w:pPr>
        <w:pStyle w:val="ListParagraph"/>
        <w:shd w:val="clear" w:color="auto" w:fill="FFFFFF"/>
        <w:spacing w:after="120" w:line="240" w:lineRule="auto"/>
        <w:ind w:left="170" w:right="170"/>
        <w:jc w:val="both"/>
        <w:outlineLvl w:val="1"/>
        <w:rPr>
          <w:rFonts w:ascii="Times New Roman" w:hAnsi="Times New Roman" w:cs="Times New Roman"/>
          <w:sz w:val="24"/>
          <w:szCs w:val="24"/>
        </w:rPr>
      </w:pPr>
      <w:r w:rsidRPr="003D6C7F">
        <w:rPr>
          <w:rFonts w:ascii="Times New Roman" w:hAnsi="Times New Roman" w:cs="Times New Roman"/>
          <w:b/>
          <w:sz w:val="24"/>
          <w:szCs w:val="24"/>
        </w:rPr>
        <w:t>Background:</w:t>
      </w:r>
      <w:r w:rsidRPr="003D6C7F">
        <w:rPr>
          <w:rFonts w:ascii="Times New Roman" w:hAnsi="Times New Roman" w:cs="Times New Roman"/>
          <w:sz w:val="24"/>
          <w:szCs w:val="24"/>
        </w:rPr>
        <w:t xml:space="preserve"> Inclusive education (IE) aims provides equity of learning environment opportunities for all students regardless of learning disabilities or special educational needs (SEN). </w:t>
      </w:r>
      <w:r w:rsidRPr="003D6C7F">
        <w:rPr>
          <w:rFonts w:ascii="Times New Roman" w:hAnsi="Times New Roman" w:cs="Times New Roman"/>
          <w:color w:val="000000" w:themeColor="text1"/>
          <w:sz w:val="24"/>
          <w:szCs w:val="24"/>
          <w:lang w:eastAsia="zh-HK"/>
        </w:rPr>
        <w:t>Supporters of</w:t>
      </w:r>
      <w:r>
        <w:rPr>
          <w:rFonts w:ascii="Times New Roman" w:hAnsi="Times New Roman" w:cs="Times New Roman"/>
          <w:color w:val="000000" w:themeColor="text1"/>
          <w:sz w:val="24"/>
          <w:szCs w:val="24"/>
          <w:lang w:eastAsia="zh-HK"/>
        </w:rPr>
        <w:t xml:space="preserve"> inclusive education (IE) assert that regular (mainstream) classes is a stimulating environment which would enhance students’ performance.  Students with special educational needs should benefit from the learning setting by participating in the common learning classrooms with students without SEN.  However, outcome studies on IE reported mixed results.  One of the factors that affects the efficacy of IE is teachers’ intention to engage in inclusive practice</w:t>
      </w:r>
      <w:r w:rsidRPr="003D6C7F">
        <w:rPr>
          <w:rFonts w:ascii="Times New Roman" w:hAnsi="Times New Roman" w:cs="Times New Roman"/>
          <w:b/>
          <w:color w:val="000000" w:themeColor="text1"/>
          <w:sz w:val="24"/>
          <w:szCs w:val="24"/>
          <w:lang w:eastAsia="zh-HK"/>
        </w:rPr>
        <w:t>.  Objectives:</w:t>
      </w:r>
      <w:r>
        <w:rPr>
          <w:rFonts w:ascii="Times New Roman" w:hAnsi="Times New Roman" w:cs="Times New Roman"/>
          <w:color w:val="000000" w:themeColor="text1"/>
          <w:sz w:val="24"/>
          <w:szCs w:val="24"/>
          <w:lang w:eastAsia="zh-HK"/>
        </w:rPr>
        <w:t xml:space="preserve"> This study aimed to establish the psychometric properties of a scale on teachers’ intention to teach inclusive classroom so that the role of the teachers in IE would be investigated with internally validity.   </w:t>
      </w:r>
      <w:r w:rsidRPr="003D6C7F">
        <w:rPr>
          <w:rFonts w:ascii="Times New Roman" w:hAnsi="Times New Roman" w:cs="Times New Roman"/>
          <w:b/>
          <w:color w:val="000000" w:themeColor="text1"/>
          <w:sz w:val="24"/>
          <w:szCs w:val="24"/>
          <w:lang w:eastAsia="zh-HK"/>
        </w:rPr>
        <w:t>Methods:</w:t>
      </w:r>
      <w:r>
        <w:rPr>
          <w:rFonts w:ascii="Times New Roman" w:hAnsi="Times New Roman" w:cs="Times New Roman"/>
          <w:color w:val="000000" w:themeColor="text1"/>
          <w:sz w:val="24"/>
          <w:szCs w:val="24"/>
          <w:lang w:eastAsia="zh-HK"/>
        </w:rPr>
        <w:t xml:space="preserve"> A questionnaire incorporating the original scale of teachers’ intention to teach in i</w:t>
      </w:r>
      <w:bookmarkStart w:id="0" w:name="_GoBack"/>
      <w:bookmarkEnd w:id="0"/>
      <w:r>
        <w:rPr>
          <w:rFonts w:ascii="Times New Roman" w:hAnsi="Times New Roman" w:cs="Times New Roman"/>
          <w:color w:val="000000" w:themeColor="text1"/>
          <w:sz w:val="24"/>
          <w:szCs w:val="24"/>
          <w:lang w:eastAsia="zh-HK"/>
        </w:rPr>
        <w:t>nclusive classroom and criterion measures (e.g., teachers’ efficacy scale, attitude towards inclusive education, and concerns of IE) was designed for data collection.   The questionnaire was put online and invited teachers participate.  A</w:t>
      </w:r>
      <w:r w:rsidRPr="003D6C7F">
        <w:rPr>
          <w:rFonts w:ascii="Times New Roman" w:hAnsi="Times New Roman" w:cs="Times New Roman"/>
          <w:sz w:val="24"/>
          <w:szCs w:val="24"/>
        </w:rPr>
        <w:t xml:space="preserve"> total of 107 teachers (mean age = 49.9 years, SD = 11.4, 49.5% were males)</w:t>
      </w:r>
      <w:r>
        <w:rPr>
          <w:rFonts w:ascii="Times New Roman" w:hAnsi="Times New Roman" w:cs="Times New Roman"/>
          <w:sz w:val="24"/>
          <w:szCs w:val="24"/>
        </w:rPr>
        <w:t xml:space="preserve"> responded to the online survey.  </w:t>
      </w:r>
      <w:r w:rsidRPr="003D6C7F">
        <w:rPr>
          <w:rFonts w:ascii="Times New Roman" w:hAnsi="Times New Roman" w:cs="Times New Roman"/>
          <w:b/>
          <w:sz w:val="24"/>
          <w:szCs w:val="24"/>
        </w:rPr>
        <w:t>Results:</w:t>
      </w:r>
      <w:r>
        <w:rPr>
          <w:rFonts w:ascii="Times New Roman" w:hAnsi="Times New Roman" w:cs="Times New Roman"/>
          <w:sz w:val="24"/>
          <w:szCs w:val="24"/>
        </w:rPr>
        <w:t xml:space="preserve">  Reliability of the scale “Intention to teach in inclusive classroom” was satisfactory, with Cronbach’ </w:t>
      </w:r>
      <w:r>
        <w:rPr>
          <w:rFonts w:ascii="Times New Roman" w:hAnsi="Times New Roman" w:cs="Times New Roman"/>
          <w:sz w:val="24"/>
          <w:szCs w:val="24"/>
        </w:rPr>
        <w:sym w:font="Symbol" w:char="F061"/>
      </w:r>
      <w:r>
        <w:rPr>
          <w:rFonts w:ascii="Times New Roman" w:hAnsi="Times New Roman" w:cs="Times New Roman"/>
          <w:sz w:val="24"/>
          <w:szCs w:val="24"/>
        </w:rPr>
        <w:t xml:space="preserve"> of the subscale of Intention to change, Intention to consult, and the total sc</w:t>
      </w:r>
      <w:r w:rsidR="00B41041">
        <w:rPr>
          <w:rFonts w:ascii="Times New Roman" w:hAnsi="Times New Roman" w:cs="Times New Roman"/>
          <w:sz w:val="24"/>
          <w:szCs w:val="24"/>
        </w:rPr>
        <w:t>ale were .</w:t>
      </w:r>
      <w:r w:rsidR="00E5759A">
        <w:rPr>
          <w:rFonts w:ascii="Times New Roman" w:hAnsi="Times New Roman" w:cs="Times New Roman"/>
          <w:sz w:val="24"/>
          <w:szCs w:val="24"/>
        </w:rPr>
        <w:t>76, .86</w:t>
      </w:r>
      <w:r w:rsidR="00B41041">
        <w:rPr>
          <w:rFonts w:ascii="Times New Roman" w:hAnsi="Times New Roman" w:cs="Times New Roman"/>
          <w:sz w:val="24"/>
          <w:szCs w:val="24"/>
        </w:rPr>
        <w:t>, and .89</w:t>
      </w:r>
      <w:r>
        <w:rPr>
          <w:rFonts w:ascii="Times New Roman" w:hAnsi="Times New Roman" w:cs="Times New Roman"/>
          <w:sz w:val="24"/>
          <w:szCs w:val="24"/>
        </w:rPr>
        <w:t xml:space="preserve"> respectively.  Construct validity was demonstrated by the moderate correlation of the subscales and the total scale (r = </w:t>
      </w:r>
      <w:r w:rsidR="00E5759A">
        <w:rPr>
          <w:rFonts w:ascii="Times New Roman" w:hAnsi="Times New Roman" w:cs="Times New Roman"/>
          <w:sz w:val="24"/>
          <w:szCs w:val="24"/>
        </w:rPr>
        <w:t>.20 to .64</w:t>
      </w:r>
      <w:r>
        <w:rPr>
          <w:rFonts w:ascii="Times New Roman" w:hAnsi="Times New Roman" w:cs="Times New Roman"/>
          <w:sz w:val="24"/>
          <w:szCs w:val="24"/>
        </w:rPr>
        <w:t>, p</w:t>
      </w:r>
      <w:r w:rsidR="005669D0">
        <w:rPr>
          <w:rFonts w:ascii="Times New Roman" w:hAnsi="Times New Roman" w:cs="Times New Roman"/>
          <w:sz w:val="24"/>
          <w:szCs w:val="24"/>
        </w:rPr>
        <w:t xml:space="preserve"> </w:t>
      </w:r>
      <w:r>
        <w:rPr>
          <w:rFonts w:ascii="Times New Roman" w:hAnsi="Times New Roman" w:cs="Times New Roman"/>
          <w:sz w:val="24"/>
          <w:szCs w:val="24"/>
        </w:rPr>
        <w:t xml:space="preserve">&lt; .05 to p &lt;01).  </w:t>
      </w:r>
      <w:r w:rsidRPr="00B67888">
        <w:rPr>
          <w:rFonts w:ascii="Times New Roman" w:hAnsi="Times New Roman" w:cs="Times New Roman"/>
          <w:b/>
          <w:sz w:val="24"/>
          <w:szCs w:val="24"/>
        </w:rPr>
        <w:t>Conclusion:</w:t>
      </w:r>
      <w:r>
        <w:rPr>
          <w:rFonts w:ascii="Times New Roman" w:hAnsi="Times New Roman" w:cs="Times New Roman"/>
          <w:sz w:val="24"/>
          <w:szCs w:val="24"/>
        </w:rPr>
        <w:t xml:space="preserve"> The reliability and validity of the scale on Intention to teach in inclusive classroom were established.  The scale can be used as one of the measuring tools in the study of inclusive education.  </w:t>
      </w:r>
    </w:p>
    <w:p w:rsidR="00955F59" w:rsidRDefault="00955F59" w:rsidP="00955F59">
      <w:pPr>
        <w:pStyle w:val="ListParagraph"/>
        <w:shd w:val="clear" w:color="auto" w:fill="FFFFFF"/>
        <w:spacing w:after="120" w:line="240" w:lineRule="auto"/>
        <w:ind w:left="170" w:right="170"/>
        <w:jc w:val="both"/>
        <w:outlineLvl w:val="1"/>
        <w:rPr>
          <w:rFonts w:ascii="Times New Roman" w:hAnsi="Times New Roman" w:cs="Times New Roman"/>
          <w:color w:val="000000" w:themeColor="text1"/>
          <w:sz w:val="24"/>
          <w:szCs w:val="24"/>
          <w:lang w:eastAsia="zh-HK"/>
        </w:rPr>
      </w:pPr>
    </w:p>
    <w:p w:rsidR="00955F59" w:rsidRDefault="00955F59" w:rsidP="00955F59">
      <w:pPr>
        <w:pStyle w:val="ListParagraph"/>
        <w:shd w:val="clear" w:color="auto" w:fill="FFFFFF"/>
        <w:spacing w:after="120" w:line="240" w:lineRule="auto"/>
        <w:ind w:left="170" w:right="170"/>
        <w:jc w:val="both"/>
        <w:outlineLvl w:val="1"/>
        <w:rPr>
          <w:rFonts w:ascii="Times New Roman" w:hAnsi="Times New Roman" w:cs="Times New Roman"/>
          <w:color w:val="000000" w:themeColor="text1"/>
          <w:sz w:val="24"/>
          <w:szCs w:val="24"/>
          <w:lang w:eastAsia="zh-HK"/>
        </w:rPr>
      </w:pPr>
    </w:p>
    <w:p w:rsidR="00955F59" w:rsidRPr="003D6C7F" w:rsidRDefault="00955F59" w:rsidP="006C52B0">
      <w:pPr>
        <w:pStyle w:val="ListParagraph"/>
        <w:shd w:val="clear" w:color="auto" w:fill="FFFFFF"/>
        <w:spacing w:after="120" w:line="240" w:lineRule="auto"/>
        <w:ind w:left="1531" w:right="170" w:hanging="1361"/>
        <w:jc w:val="both"/>
        <w:outlineLvl w:val="1"/>
        <w:rPr>
          <w:rFonts w:ascii="Times New Roman" w:hAnsi="Times New Roman" w:cs="Times New Roman"/>
          <w:color w:val="000000" w:themeColor="text1"/>
          <w:sz w:val="24"/>
          <w:szCs w:val="24"/>
          <w:lang w:eastAsia="zh-HK"/>
        </w:rPr>
      </w:pPr>
      <w:r w:rsidRPr="00955F59">
        <w:rPr>
          <w:rFonts w:ascii="Times New Roman" w:hAnsi="Times New Roman" w:cs="Times New Roman"/>
          <w:b/>
          <w:color w:val="000000" w:themeColor="text1"/>
          <w:sz w:val="24"/>
          <w:szCs w:val="24"/>
          <w:lang w:eastAsia="zh-HK"/>
        </w:rPr>
        <w:t>Keywords:</w:t>
      </w:r>
      <w:r>
        <w:rPr>
          <w:rFonts w:ascii="Times New Roman" w:hAnsi="Times New Roman" w:cs="Times New Roman"/>
          <w:color w:val="000000" w:themeColor="text1"/>
          <w:sz w:val="24"/>
          <w:szCs w:val="24"/>
          <w:lang w:eastAsia="zh-HK"/>
        </w:rPr>
        <w:t xml:space="preserve"> </w:t>
      </w:r>
      <w:r w:rsidR="006C52B0">
        <w:rPr>
          <w:rFonts w:ascii="Times New Roman" w:hAnsi="Times New Roman" w:cs="Times New Roman"/>
          <w:color w:val="000000" w:themeColor="text1"/>
          <w:sz w:val="24"/>
          <w:szCs w:val="24"/>
          <w:lang w:eastAsia="zh-HK"/>
        </w:rPr>
        <w:t xml:space="preserve"> </w:t>
      </w:r>
      <w:r>
        <w:rPr>
          <w:rFonts w:ascii="Times New Roman" w:hAnsi="Times New Roman" w:cs="Times New Roman"/>
          <w:color w:val="000000" w:themeColor="text1"/>
          <w:sz w:val="24"/>
          <w:szCs w:val="24"/>
          <w:lang w:eastAsia="zh-HK"/>
        </w:rPr>
        <w:t>Inclusive education, intention to teach, psycho</w:t>
      </w:r>
      <w:r w:rsidR="006C52B0">
        <w:rPr>
          <w:rFonts w:ascii="Times New Roman" w:hAnsi="Times New Roman" w:cs="Times New Roman"/>
          <w:color w:val="000000" w:themeColor="text1"/>
          <w:sz w:val="24"/>
          <w:szCs w:val="24"/>
          <w:lang w:eastAsia="zh-HK"/>
        </w:rPr>
        <w:t xml:space="preserve">metric properties, </w:t>
      </w:r>
      <w:r>
        <w:rPr>
          <w:rFonts w:ascii="Times New Roman" w:hAnsi="Times New Roman" w:cs="Times New Roman"/>
          <w:color w:val="000000" w:themeColor="text1"/>
          <w:sz w:val="24"/>
          <w:szCs w:val="24"/>
          <w:lang w:eastAsia="zh-HK"/>
        </w:rPr>
        <w:t>reliability</w:t>
      </w:r>
      <w:r w:rsidR="006C52B0">
        <w:rPr>
          <w:rFonts w:ascii="Times New Roman" w:hAnsi="Times New Roman" w:cs="Times New Roman"/>
          <w:color w:val="000000" w:themeColor="text1"/>
          <w:sz w:val="24"/>
          <w:szCs w:val="24"/>
          <w:lang w:eastAsia="zh-HK"/>
        </w:rPr>
        <w:t xml:space="preserve"> </w:t>
      </w:r>
      <w:r>
        <w:rPr>
          <w:rFonts w:ascii="Times New Roman" w:hAnsi="Times New Roman" w:cs="Times New Roman"/>
          <w:color w:val="000000" w:themeColor="text1"/>
          <w:sz w:val="24"/>
          <w:szCs w:val="24"/>
          <w:lang w:eastAsia="zh-HK"/>
        </w:rPr>
        <w:t>validity</w:t>
      </w:r>
    </w:p>
    <w:p w:rsidR="006A54F5" w:rsidRDefault="006A54F5"/>
    <w:p w:rsidR="00B41041" w:rsidRDefault="00B41041"/>
    <w:p w:rsidR="00B41041" w:rsidRDefault="00B41041"/>
    <w:p w:rsidR="00B41041" w:rsidRDefault="00B41041"/>
    <w:tbl>
      <w:tblPr>
        <w:tblW w:w="87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418"/>
        <w:gridCol w:w="1559"/>
        <w:gridCol w:w="1701"/>
      </w:tblGrid>
      <w:tr w:rsidR="00B41041" w:rsidRPr="00EC30EA" w:rsidTr="00B41041">
        <w:trPr>
          <w:trHeight w:val="360"/>
        </w:trPr>
        <w:tc>
          <w:tcPr>
            <w:tcW w:w="4111" w:type="dxa"/>
          </w:tcPr>
          <w:p w:rsidR="00B41041" w:rsidRPr="00EC30EA" w:rsidRDefault="00B41041" w:rsidP="0022421E">
            <w:pPr>
              <w:spacing w:before="100" w:beforeAutospacing="1" w:line="280" w:lineRule="exact"/>
              <w:rPr>
                <w:rFonts w:ascii="Times New Roman" w:hAnsi="Times New Roman" w:cs="Times New Roman"/>
              </w:rPr>
            </w:pPr>
            <w:r>
              <w:rPr>
                <w:rFonts w:ascii="Times New Roman" w:hAnsi="Times New Roman" w:cs="Times New Roman"/>
              </w:rPr>
              <w:t>Intention</w:t>
            </w:r>
          </w:p>
        </w:tc>
        <w:tc>
          <w:tcPr>
            <w:tcW w:w="1418" w:type="dxa"/>
          </w:tcPr>
          <w:p w:rsidR="00B41041" w:rsidRPr="00EC30EA" w:rsidRDefault="00B41041" w:rsidP="0022421E">
            <w:pPr>
              <w:spacing w:before="100" w:beforeAutospacing="1" w:line="280" w:lineRule="exact"/>
              <w:jc w:val="center"/>
              <w:rPr>
                <w:rFonts w:ascii="Times New Roman" w:hAnsi="Times New Roman" w:cs="Times New Roman"/>
              </w:rPr>
            </w:pPr>
            <w:r>
              <w:rPr>
                <w:rFonts w:ascii="Times New Roman" w:hAnsi="Times New Roman" w:cs="Times New Roman"/>
              </w:rPr>
              <w:t>7</w:t>
            </w:r>
          </w:p>
        </w:tc>
        <w:tc>
          <w:tcPr>
            <w:tcW w:w="1559" w:type="dxa"/>
          </w:tcPr>
          <w:p w:rsidR="00B41041" w:rsidRPr="00EC30EA" w:rsidRDefault="00B41041" w:rsidP="0022421E">
            <w:pPr>
              <w:spacing w:before="100" w:beforeAutospacing="1" w:line="280" w:lineRule="exact"/>
              <w:jc w:val="center"/>
              <w:rPr>
                <w:rFonts w:ascii="Times New Roman" w:hAnsi="Times New Roman" w:cs="Times New Roman"/>
              </w:rPr>
            </w:pPr>
            <w:r>
              <w:rPr>
                <w:rFonts w:ascii="Times New Roman" w:hAnsi="Times New Roman" w:cs="Times New Roman"/>
              </w:rPr>
              <w:t>.62-.80</w:t>
            </w:r>
          </w:p>
        </w:tc>
        <w:tc>
          <w:tcPr>
            <w:tcW w:w="1701" w:type="dxa"/>
          </w:tcPr>
          <w:p w:rsidR="00B41041" w:rsidRPr="00EC30EA" w:rsidRDefault="00B41041" w:rsidP="0022421E">
            <w:pPr>
              <w:spacing w:before="100" w:beforeAutospacing="1" w:line="280" w:lineRule="exact"/>
              <w:jc w:val="center"/>
              <w:rPr>
                <w:rFonts w:ascii="Times New Roman" w:hAnsi="Times New Roman" w:cs="Times New Roman"/>
              </w:rPr>
            </w:pPr>
            <w:r>
              <w:rPr>
                <w:rFonts w:ascii="Times New Roman" w:hAnsi="Times New Roman" w:cs="Times New Roman"/>
              </w:rPr>
              <w:t>.89</w:t>
            </w:r>
          </w:p>
        </w:tc>
      </w:tr>
      <w:tr w:rsidR="00B41041" w:rsidRPr="00EC30EA" w:rsidTr="00B41041">
        <w:trPr>
          <w:trHeight w:val="360"/>
        </w:trPr>
        <w:tc>
          <w:tcPr>
            <w:tcW w:w="4111" w:type="dxa"/>
          </w:tcPr>
          <w:p w:rsidR="00B41041" w:rsidRPr="00EC30EA" w:rsidRDefault="00B41041" w:rsidP="0022421E">
            <w:pPr>
              <w:spacing w:before="100" w:beforeAutospacing="1" w:line="280" w:lineRule="exact"/>
              <w:rPr>
                <w:rFonts w:ascii="Times New Roman" w:hAnsi="Times New Roman" w:cs="Times New Roman"/>
              </w:rPr>
            </w:pPr>
            <w:r>
              <w:rPr>
                <w:rFonts w:ascii="Times New Roman" w:hAnsi="Times New Roman" w:cs="Times New Roman"/>
              </w:rPr>
              <w:t xml:space="preserve">    To change</w:t>
            </w:r>
          </w:p>
        </w:tc>
        <w:tc>
          <w:tcPr>
            <w:tcW w:w="1418" w:type="dxa"/>
          </w:tcPr>
          <w:p w:rsidR="00B41041" w:rsidRPr="00EC30EA" w:rsidRDefault="00B41041" w:rsidP="0022421E">
            <w:pPr>
              <w:spacing w:before="100" w:beforeAutospacing="1" w:line="280" w:lineRule="exact"/>
              <w:jc w:val="center"/>
              <w:rPr>
                <w:rFonts w:ascii="Times New Roman" w:hAnsi="Times New Roman" w:cs="Times New Roman"/>
              </w:rPr>
            </w:pPr>
            <w:r>
              <w:rPr>
                <w:rFonts w:ascii="Times New Roman" w:hAnsi="Times New Roman" w:cs="Times New Roman"/>
              </w:rPr>
              <w:t>3</w:t>
            </w:r>
          </w:p>
        </w:tc>
        <w:tc>
          <w:tcPr>
            <w:tcW w:w="1559" w:type="dxa"/>
          </w:tcPr>
          <w:p w:rsidR="00B41041" w:rsidRPr="00EC30EA" w:rsidRDefault="00B41041" w:rsidP="0022421E">
            <w:pPr>
              <w:spacing w:before="100" w:beforeAutospacing="1" w:line="280" w:lineRule="exact"/>
              <w:jc w:val="center"/>
              <w:rPr>
                <w:rFonts w:ascii="Times New Roman" w:hAnsi="Times New Roman" w:cs="Times New Roman"/>
              </w:rPr>
            </w:pPr>
            <w:r>
              <w:rPr>
                <w:rFonts w:ascii="Times New Roman" w:hAnsi="Times New Roman" w:cs="Times New Roman"/>
              </w:rPr>
              <w:t>.57-.63</w:t>
            </w:r>
          </w:p>
        </w:tc>
        <w:tc>
          <w:tcPr>
            <w:tcW w:w="1701" w:type="dxa"/>
          </w:tcPr>
          <w:p w:rsidR="00B41041" w:rsidRPr="00EC30EA" w:rsidRDefault="00B41041" w:rsidP="0022421E">
            <w:pPr>
              <w:spacing w:before="100" w:beforeAutospacing="1" w:line="280" w:lineRule="exact"/>
              <w:jc w:val="center"/>
              <w:rPr>
                <w:rFonts w:ascii="Times New Roman" w:hAnsi="Times New Roman" w:cs="Times New Roman"/>
              </w:rPr>
            </w:pPr>
            <w:r>
              <w:rPr>
                <w:rFonts w:ascii="Times New Roman" w:hAnsi="Times New Roman" w:cs="Times New Roman"/>
              </w:rPr>
              <w:t>.76</w:t>
            </w:r>
          </w:p>
        </w:tc>
      </w:tr>
      <w:tr w:rsidR="00B41041" w:rsidRPr="00EC30EA" w:rsidTr="00B41041">
        <w:trPr>
          <w:trHeight w:val="360"/>
        </w:trPr>
        <w:tc>
          <w:tcPr>
            <w:tcW w:w="4111" w:type="dxa"/>
          </w:tcPr>
          <w:p w:rsidR="00B41041" w:rsidRPr="00EC30EA" w:rsidRDefault="00B41041" w:rsidP="0022421E">
            <w:pPr>
              <w:spacing w:before="100" w:beforeAutospacing="1" w:line="280" w:lineRule="exact"/>
              <w:rPr>
                <w:rFonts w:ascii="Times New Roman" w:hAnsi="Times New Roman" w:cs="Times New Roman"/>
              </w:rPr>
            </w:pPr>
            <w:r>
              <w:rPr>
                <w:rFonts w:ascii="Times New Roman" w:hAnsi="Times New Roman" w:cs="Times New Roman"/>
              </w:rPr>
              <w:t xml:space="preserve">    To consult</w:t>
            </w:r>
          </w:p>
        </w:tc>
        <w:tc>
          <w:tcPr>
            <w:tcW w:w="1418" w:type="dxa"/>
          </w:tcPr>
          <w:p w:rsidR="00B41041" w:rsidRPr="00EC30EA" w:rsidRDefault="00B41041" w:rsidP="0022421E">
            <w:pPr>
              <w:spacing w:before="100" w:beforeAutospacing="1" w:line="280" w:lineRule="exact"/>
              <w:jc w:val="center"/>
              <w:rPr>
                <w:rFonts w:ascii="Times New Roman" w:hAnsi="Times New Roman" w:cs="Times New Roman"/>
              </w:rPr>
            </w:pPr>
            <w:r>
              <w:rPr>
                <w:rFonts w:ascii="Times New Roman" w:hAnsi="Times New Roman" w:cs="Times New Roman"/>
              </w:rPr>
              <w:t>4</w:t>
            </w:r>
          </w:p>
        </w:tc>
        <w:tc>
          <w:tcPr>
            <w:tcW w:w="1559" w:type="dxa"/>
          </w:tcPr>
          <w:p w:rsidR="00B41041" w:rsidRPr="00EC30EA" w:rsidRDefault="00B41041" w:rsidP="0022421E">
            <w:pPr>
              <w:spacing w:before="100" w:beforeAutospacing="1" w:line="280" w:lineRule="exact"/>
              <w:jc w:val="center"/>
              <w:rPr>
                <w:rFonts w:ascii="Times New Roman" w:hAnsi="Times New Roman" w:cs="Times New Roman"/>
              </w:rPr>
            </w:pPr>
            <w:r>
              <w:rPr>
                <w:rFonts w:ascii="Times New Roman" w:hAnsi="Times New Roman" w:cs="Times New Roman"/>
              </w:rPr>
              <w:t>.63-.74</w:t>
            </w:r>
          </w:p>
        </w:tc>
        <w:tc>
          <w:tcPr>
            <w:tcW w:w="1701" w:type="dxa"/>
          </w:tcPr>
          <w:p w:rsidR="00B41041" w:rsidRPr="00EC30EA" w:rsidRDefault="00B41041" w:rsidP="0022421E">
            <w:pPr>
              <w:spacing w:before="100" w:beforeAutospacing="1" w:line="280" w:lineRule="exact"/>
              <w:jc w:val="center"/>
              <w:rPr>
                <w:rFonts w:ascii="Times New Roman" w:hAnsi="Times New Roman" w:cs="Times New Roman"/>
              </w:rPr>
            </w:pPr>
            <w:r>
              <w:rPr>
                <w:rFonts w:ascii="Times New Roman" w:hAnsi="Times New Roman" w:cs="Times New Roman"/>
              </w:rPr>
              <w:t>.86</w:t>
            </w:r>
          </w:p>
        </w:tc>
      </w:tr>
    </w:tbl>
    <w:p w:rsidR="00B41041" w:rsidRDefault="00B41041"/>
    <w:p w:rsidR="00B41041" w:rsidRDefault="00B41041" w:rsidP="00B41041">
      <w:r>
        <w:t>Intention correlation (subscales and total score)</w:t>
      </w:r>
    </w:p>
    <w:tbl>
      <w:tblPr>
        <w:tblStyle w:val="TableGrid"/>
        <w:tblW w:w="0" w:type="auto"/>
        <w:tblLook w:val="04A0" w:firstRow="1" w:lastRow="0" w:firstColumn="1" w:lastColumn="0" w:noHBand="0" w:noVBand="1"/>
      </w:tblPr>
      <w:tblGrid>
        <w:gridCol w:w="2876"/>
        <w:gridCol w:w="2877"/>
        <w:gridCol w:w="2877"/>
      </w:tblGrid>
      <w:tr w:rsidR="00B41041" w:rsidTr="0022421E">
        <w:tc>
          <w:tcPr>
            <w:tcW w:w="2876" w:type="dxa"/>
          </w:tcPr>
          <w:p w:rsidR="00B41041" w:rsidRDefault="00B41041" w:rsidP="0022421E"/>
        </w:tc>
        <w:tc>
          <w:tcPr>
            <w:tcW w:w="2877" w:type="dxa"/>
          </w:tcPr>
          <w:p w:rsidR="00B41041" w:rsidRDefault="00B41041" w:rsidP="0022421E">
            <w:pPr>
              <w:jc w:val="center"/>
            </w:pPr>
            <w:r>
              <w:t>To consult</w:t>
            </w:r>
          </w:p>
        </w:tc>
        <w:tc>
          <w:tcPr>
            <w:tcW w:w="2877" w:type="dxa"/>
          </w:tcPr>
          <w:p w:rsidR="00B41041" w:rsidRDefault="00B41041" w:rsidP="0022421E">
            <w:pPr>
              <w:jc w:val="center"/>
            </w:pPr>
            <w:r>
              <w:t>Total score</w:t>
            </w:r>
          </w:p>
        </w:tc>
      </w:tr>
      <w:tr w:rsidR="00B41041" w:rsidTr="0022421E">
        <w:tc>
          <w:tcPr>
            <w:tcW w:w="2876" w:type="dxa"/>
          </w:tcPr>
          <w:p w:rsidR="00B41041" w:rsidRDefault="00B41041" w:rsidP="0022421E">
            <w:r>
              <w:t>To change</w:t>
            </w:r>
          </w:p>
        </w:tc>
        <w:tc>
          <w:tcPr>
            <w:tcW w:w="2877" w:type="dxa"/>
          </w:tcPr>
          <w:p w:rsidR="00B41041" w:rsidRDefault="00B41041" w:rsidP="0022421E">
            <w:pPr>
              <w:jc w:val="center"/>
            </w:pPr>
            <w:r>
              <w:t>.775***</w:t>
            </w:r>
          </w:p>
        </w:tc>
        <w:tc>
          <w:tcPr>
            <w:tcW w:w="2877" w:type="dxa"/>
          </w:tcPr>
          <w:p w:rsidR="00B41041" w:rsidRDefault="00B41041" w:rsidP="0022421E">
            <w:pPr>
              <w:jc w:val="center"/>
            </w:pPr>
            <w:r>
              <w:t>.929***</w:t>
            </w:r>
          </w:p>
        </w:tc>
      </w:tr>
      <w:tr w:rsidR="00B41041" w:rsidTr="0022421E">
        <w:tc>
          <w:tcPr>
            <w:tcW w:w="2876" w:type="dxa"/>
          </w:tcPr>
          <w:p w:rsidR="00B41041" w:rsidRDefault="00B41041" w:rsidP="0022421E">
            <w:r>
              <w:t>To consult</w:t>
            </w:r>
          </w:p>
        </w:tc>
        <w:tc>
          <w:tcPr>
            <w:tcW w:w="2877" w:type="dxa"/>
          </w:tcPr>
          <w:p w:rsidR="00B41041" w:rsidRDefault="00B41041" w:rsidP="0022421E">
            <w:pPr>
              <w:jc w:val="center"/>
            </w:pPr>
          </w:p>
        </w:tc>
        <w:tc>
          <w:tcPr>
            <w:tcW w:w="2877" w:type="dxa"/>
          </w:tcPr>
          <w:p w:rsidR="00B41041" w:rsidRDefault="00B41041" w:rsidP="0022421E">
            <w:pPr>
              <w:jc w:val="center"/>
            </w:pPr>
            <w:r>
              <w:t>.954***</w:t>
            </w:r>
          </w:p>
        </w:tc>
      </w:tr>
    </w:tbl>
    <w:p w:rsidR="00B41041" w:rsidRDefault="00B41041" w:rsidP="00B41041">
      <w:pPr>
        <w:rPr>
          <w:i/>
          <w:iCs/>
        </w:rPr>
      </w:pPr>
      <w:r>
        <w:rPr>
          <w:i/>
          <w:iCs/>
        </w:rPr>
        <w:t>Note: ***p&lt;.005</w:t>
      </w:r>
    </w:p>
    <w:tbl>
      <w:tblPr>
        <w:tblStyle w:val="TableGrid"/>
        <w:tblW w:w="8505" w:type="dxa"/>
        <w:tblInd w:w="137" w:type="dxa"/>
        <w:tblLook w:val="04A0" w:firstRow="1" w:lastRow="0" w:firstColumn="1" w:lastColumn="0" w:noHBand="0" w:noVBand="1"/>
      </w:tblPr>
      <w:tblGrid>
        <w:gridCol w:w="1803"/>
        <w:gridCol w:w="2234"/>
        <w:gridCol w:w="2234"/>
        <w:gridCol w:w="2234"/>
      </w:tblGrid>
      <w:tr w:rsidR="00E5759A" w:rsidTr="00254EB5">
        <w:trPr>
          <w:trHeight w:val="362"/>
        </w:trPr>
        <w:tc>
          <w:tcPr>
            <w:tcW w:w="1803" w:type="dxa"/>
          </w:tcPr>
          <w:p w:rsidR="00E5759A" w:rsidRDefault="00E5759A" w:rsidP="0022421E"/>
        </w:tc>
        <w:tc>
          <w:tcPr>
            <w:tcW w:w="2234" w:type="dxa"/>
          </w:tcPr>
          <w:p w:rsidR="00E5759A" w:rsidRDefault="00E5759A" w:rsidP="00254EB5">
            <w:pPr>
              <w:jc w:val="center"/>
            </w:pPr>
            <w:r>
              <w:t>ATTIE total</w:t>
            </w:r>
          </w:p>
        </w:tc>
        <w:tc>
          <w:tcPr>
            <w:tcW w:w="2234" w:type="dxa"/>
          </w:tcPr>
          <w:p w:rsidR="00E5759A" w:rsidRDefault="00E5759A" w:rsidP="00254EB5">
            <w:pPr>
              <w:jc w:val="center"/>
            </w:pPr>
            <w:r>
              <w:t>Core value total</w:t>
            </w:r>
          </w:p>
        </w:tc>
        <w:tc>
          <w:tcPr>
            <w:tcW w:w="2234" w:type="dxa"/>
          </w:tcPr>
          <w:p w:rsidR="00E5759A" w:rsidRDefault="00E5759A" w:rsidP="00254EB5">
            <w:pPr>
              <w:jc w:val="center"/>
            </w:pPr>
            <w:r>
              <w:t>TEIP total</w:t>
            </w:r>
          </w:p>
        </w:tc>
      </w:tr>
      <w:tr w:rsidR="00E5759A" w:rsidTr="00254EB5">
        <w:trPr>
          <w:trHeight w:val="342"/>
        </w:trPr>
        <w:tc>
          <w:tcPr>
            <w:tcW w:w="1803" w:type="dxa"/>
          </w:tcPr>
          <w:p w:rsidR="00E5759A" w:rsidRDefault="00E5759A" w:rsidP="0022421E">
            <w:r>
              <w:t>To change</w:t>
            </w:r>
          </w:p>
        </w:tc>
        <w:tc>
          <w:tcPr>
            <w:tcW w:w="2234" w:type="dxa"/>
          </w:tcPr>
          <w:p w:rsidR="00E5759A" w:rsidRDefault="00E5759A" w:rsidP="00254EB5">
            <w:pPr>
              <w:jc w:val="center"/>
            </w:pPr>
            <w:r>
              <w:t>.342***</w:t>
            </w:r>
          </w:p>
        </w:tc>
        <w:tc>
          <w:tcPr>
            <w:tcW w:w="2234" w:type="dxa"/>
          </w:tcPr>
          <w:p w:rsidR="00E5759A" w:rsidRDefault="00E5759A" w:rsidP="00254EB5">
            <w:pPr>
              <w:jc w:val="center"/>
            </w:pPr>
            <w:r>
              <w:t>.461***</w:t>
            </w:r>
          </w:p>
        </w:tc>
        <w:tc>
          <w:tcPr>
            <w:tcW w:w="2234" w:type="dxa"/>
          </w:tcPr>
          <w:p w:rsidR="00E5759A" w:rsidRDefault="00E5759A" w:rsidP="00254EB5">
            <w:pPr>
              <w:jc w:val="center"/>
            </w:pPr>
            <w:r>
              <w:t>.624***</w:t>
            </w:r>
          </w:p>
        </w:tc>
      </w:tr>
      <w:tr w:rsidR="00E5759A" w:rsidTr="00254EB5">
        <w:trPr>
          <w:trHeight w:val="362"/>
        </w:trPr>
        <w:tc>
          <w:tcPr>
            <w:tcW w:w="1803" w:type="dxa"/>
          </w:tcPr>
          <w:p w:rsidR="00E5759A" w:rsidRDefault="00E5759A" w:rsidP="0022421E">
            <w:r>
              <w:t>To consult</w:t>
            </w:r>
          </w:p>
        </w:tc>
        <w:tc>
          <w:tcPr>
            <w:tcW w:w="2234" w:type="dxa"/>
          </w:tcPr>
          <w:p w:rsidR="00E5759A" w:rsidRDefault="00E5759A" w:rsidP="00254EB5">
            <w:pPr>
              <w:jc w:val="center"/>
            </w:pPr>
            <w:r>
              <w:t>.199*</w:t>
            </w:r>
          </w:p>
        </w:tc>
        <w:tc>
          <w:tcPr>
            <w:tcW w:w="2234" w:type="dxa"/>
          </w:tcPr>
          <w:p w:rsidR="00E5759A" w:rsidRDefault="00E5759A" w:rsidP="00254EB5">
            <w:pPr>
              <w:jc w:val="center"/>
            </w:pPr>
            <w:r>
              <w:t>.332***</w:t>
            </w:r>
          </w:p>
        </w:tc>
        <w:tc>
          <w:tcPr>
            <w:tcW w:w="2234" w:type="dxa"/>
          </w:tcPr>
          <w:p w:rsidR="00E5759A" w:rsidRDefault="00E5759A" w:rsidP="00254EB5">
            <w:pPr>
              <w:jc w:val="center"/>
            </w:pPr>
            <w:r>
              <w:t>.579***</w:t>
            </w:r>
          </w:p>
        </w:tc>
      </w:tr>
      <w:tr w:rsidR="00E5759A" w:rsidTr="00254EB5">
        <w:trPr>
          <w:trHeight w:val="342"/>
        </w:trPr>
        <w:tc>
          <w:tcPr>
            <w:tcW w:w="1803" w:type="dxa"/>
          </w:tcPr>
          <w:p w:rsidR="00E5759A" w:rsidRDefault="00E5759A" w:rsidP="0022421E">
            <w:r>
              <w:t xml:space="preserve">Intention total </w:t>
            </w:r>
          </w:p>
        </w:tc>
        <w:tc>
          <w:tcPr>
            <w:tcW w:w="2234" w:type="dxa"/>
          </w:tcPr>
          <w:p w:rsidR="00E5759A" w:rsidRDefault="00E5759A" w:rsidP="00254EB5">
            <w:pPr>
              <w:jc w:val="center"/>
            </w:pPr>
            <w:r>
              <w:t>.279**</w:t>
            </w:r>
          </w:p>
        </w:tc>
        <w:tc>
          <w:tcPr>
            <w:tcW w:w="2234" w:type="dxa"/>
          </w:tcPr>
          <w:p w:rsidR="00E5759A" w:rsidRDefault="00E5759A" w:rsidP="00254EB5">
            <w:pPr>
              <w:jc w:val="center"/>
            </w:pPr>
            <w:r>
              <w:t>.414***</w:t>
            </w:r>
          </w:p>
        </w:tc>
        <w:tc>
          <w:tcPr>
            <w:tcW w:w="2234" w:type="dxa"/>
          </w:tcPr>
          <w:p w:rsidR="00E5759A" w:rsidRDefault="00E5759A" w:rsidP="00254EB5">
            <w:pPr>
              <w:jc w:val="center"/>
            </w:pPr>
            <w:r>
              <w:t>.636***</w:t>
            </w:r>
          </w:p>
        </w:tc>
      </w:tr>
    </w:tbl>
    <w:p w:rsidR="00B41041" w:rsidRDefault="00B41041"/>
    <w:sectPr w:rsidR="00B41041" w:rsidSect="0078393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041" w:rsidRDefault="00B41041" w:rsidP="00B41041">
      <w:pPr>
        <w:spacing w:after="0" w:line="240" w:lineRule="auto"/>
      </w:pPr>
      <w:r>
        <w:separator/>
      </w:r>
    </w:p>
  </w:endnote>
  <w:endnote w:type="continuationSeparator" w:id="0">
    <w:p w:rsidR="00B41041" w:rsidRDefault="00B41041" w:rsidP="00B41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DengXian Light">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041" w:rsidRDefault="00B41041" w:rsidP="00B41041">
      <w:pPr>
        <w:spacing w:after="0" w:line="240" w:lineRule="auto"/>
      </w:pPr>
      <w:r>
        <w:separator/>
      </w:r>
    </w:p>
  </w:footnote>
  <w:footnote w:type="continuationSeparator" w:id="0">
    <w:p w:rsidR="00B41041" w:rsidRDefault="00B41041" w:rsidP="00B410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59"/>
    <w:rsid w:val="00254EB5"/>
    <w:rsid w:val="002E6DBA"/>
    <w:rsid w:val="003D2CF2"/>
    <w:rsid w:val="004D01E7"/>
    <w:rsid w:val="005669D0"/>
    <w:rsid w:val="006A54F5"/>
    <w:rsid w:val="006C52B0"/>
    <w:rsid w:val="00783938"/>
    <w:rsid w:val="00955F59"/>
    <w:rsid w:val="00B41041"/>
    <w:rsid w:val="00E5759A"/>
    <w:rsid w:val="00F94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F76143C-E9BB-431C-A68E-664737F5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5F59"/>
    <w:pPr>
      <w:ind w:left="720"/>
      <w:contextualSpacing/>
    </w:pPr>
  </w:style>
  <w:style w:type="character" w:customStyle="1" w:styleId="ListParagraphChar">
    <w:name w:val="List Paragraph Char"/>
    <w:link w:val="ListParagraph"/>
    <w:uiPriority w:val="34"/>
    <w:rsid w:val="00955F59"/>
  </w:style>
  <w:style w:type="character" w:styleId="Hyperlink">
    <w:name w:val="Hyperlink"/>
    <w:basedOn w:val="DefaultParagraphFont"/>
    <w:uiPriority w:val="99"/>
    <w:rsid w:val="00955F59"/>
    <w:rPr>
      <w:color w:val="0000FF"/>
      <w:u w:val="single"/>
    </w:rPr>
  </w:style>
  <w:style w:type="paragraph" w:styleId="Title">
    <w:name w:val="Title"/>
    <w:basedOn w:val="Normal"/>
    <w:next w:val="Normal"/>
    <w:link w:val="TitleChar"/>
    <w:qFormat/>
    <w:rsid w:val="00955F59"/>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eastAsia="en-US"/>
    </w:rPr>
  </w:style>
  <w:style w:type="character" w:customStyle="1" w:styleId="TitleChar">
    <w:name w:val="Title Char"/>
    <w:basedOn w:val="DefaultParagraphFont"/>
    <w:link w:val="Title"/>
    <w:rsid w:val="00955F59"/>
    <w:rPr>
      <w:rFonts w:ascii="Times New Roman" w:eastAsia="Times New Roman" w:hAnsi="Times New Roman" w:cs="Times New Roman"/>
      <w:kern w:val="28"/>
      <w:sz w:val="48"/>
      <w:szCs w:val="48"/>
      <w:lang w:eastAsia="en-US"/>
    </w:rPr>
  </w:style>
  <w:style w:type="character" w:customStyle="1" w:styleId="st1">
    <w:name w:val="st1"/>
    <w:rsid w:val="00955F59"/>
  </w:style>
  <w:style w:type="paragraph" w:customStyle="1" w:styleId="TTPAddress">
    <w:name w:val="TTP Address"/>
    <w:basedOn w:val="Normal"/>
    <w:uiPriority w:val="99"/>
    <w:rsid w:val="00955F59"/>
    <w:pPr>
      <w:autoSpaceDE w:val="0"/>
      <w:autoSpaceDN w:val="0"/>
      <w:spacing w:before="120" w:after="0" w:line="240" w:lineRule="auto"/>
      <w:ind w:firstLine="284"/>
      <w:jc w:val="center"/>
    </w:pPr>
    <w:rPr>
      <w:rFonts w:ascii="Arial" w:eastAsia="SimSun" w:hAnsi="Arial" w:cs="Times New Roman"/>
      <w:szCs w:val="20"/>
      <w:lang w:eastAsia="en-US"/>
    </w:rPr>
  </w:style>
  <w:style w:type="paragraph" w:styleId="Header">
    <w:name w:val="header"/>
    <w:basedOn w:val="Normal"/>
    <w:link w:val="HeaderChar"/>
    <w:uiPriority w:val="99"/>
    <w:unhideWhenUsed/>
    <w:rsid w:val="00B41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041"/>
  </w:style>
  <w:style w:type="paragraph" w:styleId="Footer">
    <w:name w:val="footer"/>
    <w:basedOn w:val="Normal"/>
    <w:link w:val="FooterChar"/>
    <w:uiPriority w:val="99"/>
    <w:unhideWhenUsed/>
    <w:rsid w:val="00B41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041"/>
  </w:style>
  <w:style w:type="table" w:styleId="TableGrid">
    <w:name w:val="Table Grid"/>
    <w:basedOn w:val="TableNormal"/>
    <w:uiPriority w:val="39"/>
    <w:rsid w:val="00B41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cwkwan@hku.hk" TargetMode="External"/><Relationship Id="rId3" Type="http://schemas.openxmlformats.org/officeDocument/2006/relationships/webSettings" Target="webSettings.xml"/><Relationship Id="rId7" Type="http://schemas.openxmlformats.org/officeDocument/2006/relationships/hyperlink" Target="mailto:2kwboey@hku.h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hnng@cihe.edu.h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CIHE2</dc:creator>
  <cp:keywords/>
  <dc:description/>
  <cp:lastModifiedBy>CIHE</cp:lastModifiedBy>
  <cp:revision>2</cp:revision>
  <dcterms:created xsi:type="dcterms:W3CDTF">2022-12-08T18:02:00Z</dcterms:created>
  <dcterms:modified xsi:type="dcterms:W3CDTF">2022-12-08T18:02:00Z</dcterms:modified>
</cp:coreProperties>
</file>