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9B" w:rsidRDefault="004104A2">
      <w:pPr>
        <w:jc w:val="center"/>
        <w:rPr>
          <w:rFonts w:ascii="Apple Chancery" w:hAnsi="Apple Chancery"/>
          <w:u w:val="singl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-122555</wp:posOffset>
            </wp:positionH>
            <wp:positionV relativeFrom="paragraph">
              <wp:posOffset>36830</wp:posOffset>
            </wp:positionV>
            <wp:extent cx="1203325" cy="5772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ple Chancery" w:hAnsi="Apple Chancery"/>
          <w:u w:val="single"/>
        </w:rPr>
        <w:t>Teaching &amp; Education Research Association</w:t>
      </w:r>
    </w:p>
    <w:p w:rsidR="008E379B" w:rsidRDefault="004104A2">
      <w:pPr>
        <w:jc w:val="center"/>
        <w:rPr>
          <w:b/>
          <w:bCs/>
        </w:rPr>
      </w:pPr>
      <w:r>
        <w:rPr>
          <w:b/>
          <w:bCs/>
        </w:rPr>
        <w:t>Conference Registration Form</w:t>
      </w:r>
    </w:p>
    <w:p w:rsidR="008E379B" w:rsidRDefault="004104A2">
      <w:pPr>
        <w:jc w:val="center"/>
      </w:pPr>
      <w:r>
        <w:t xml:space="preserve">(Email filled form to: </w:t>
      </w:r>
      <w:r>
        <w:rPr>
          <w:u w:val="single"/>
        </w:rPr>
        <w:t>convener@eurasiaresearch.info</w:t>
      </w:r>
      <w:r>
        <w:t>)</w:t>
      </w:r>
    </w:p>
    <w:p w:rsidR="008E379B" w:rsidRDefault="008E379B"/>
    <w:p w:rsidR="008E379B" w:rsidRDefault="004104A2">
      <w:pPr>
        <w:jc w:val="center"/>
        <w:rPr>
          <w:sz w:val="20"/>
          <w:szCs w:val="20"/>
        </w:rPr>
      </w:pPr>
      <w:r>
        <w:rPr>
          <w:sz w:val="20"/>
          <w:szCs w:val="20"/>
        </w:rPr>
        <w:t>The information filled below will be used for making the conference Invitation Letter/ Invoice/ Certificate. So, kindly fill all details accordingly.</w:t>
      </w:r>
    </w:p>
    <w:p w:rsidR="008E379B" w:rsidRDefault="008E379B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6"/>
        <w:gridCol w:w="6232"/>
      </w:tblGrid>
      <w:tr w:rsidR="008E379B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Name of the Conference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Pr="0048436E" w:rsidRDefault="0048436E">
            <w:pPr>
              <w:pStyle w:val="TableContents"/>
              <w:rPr>
                <w:lang w:val="en-US"/>
              </w:rPr>
            </w:pPr>
            <w:r w:rsidRPr="0048436E">
              <w:rPr>
                <w:rFonts w:ascii="Apple Chancery" w:hAnsi="Apple Chancery"/>
              </w:rPr>
              <w:t>International Confer</w:t>
            </w:r>
            <w:bookmarkStart w:id="0" w:name="_GoBack"/>
            <w:bookmarkEnd w:id="0"/>
            <w:r w:rsidRPr="0048436E">
              <w:rPr>
                <w:rFonts w:ascii="Apple Chancery" w:hAnsi="Apple Chancery"/>
              </w:rPr>
              <w:t>ence on Education &amp; Learning Technology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Conference Dates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From: (</w:t>
            </w:r>
            <w:r w:rsidR="00E054BC">
              <w:t>19</w:t>
            </w:r>
            <w:r>
              <w:t>/</w:t>
            </w:r>
            <w:r w:rsidR="00E054BC">
              <w:t>02</w:t>
            </w:r>
            <w:r>
              <w:t>/</w:t>
            </w:r>
            <w:r w:rsidR="00E054BC">
              <w:t>2024</w:t>
            </w:r>
            <w:r>
              <w:t>)</w:t>
            </w:r>
          </w:p>
          <w:p w:rsidR="008E379B" w:rsidRDefault="004104A2" w:rsidP="00E054BC">
            <w:pPr>
              <w:pStyle w:val="TableContents"/>
            </w:pPr>
            <w:r>
              <w:t>To: (</w:t>
            </w:r>
            <w:r w:rsidR="00E054BC">
              <w:t>20</w:t>
            </w:r>
            <w:r>
              <w:t>/</w:t>
            </w:r>
            <w:r w:rsidR="00E054BC">
              <w:t>02</w:t>
            </w:r>
            <w:r>
              <w:t>/</w:t>
            </w:r>
            <w:r w:rsidR="00E054BC">
              <w:t>2024</w:t>
            </w:r>
            <w:r>
              <w:t>)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Participant’s Name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E054BC">
            <w:pPr>
              <w:pStyle w:val="TableContents"/>
            </w:pPr>
            <w:proofErr w:type="spellStart"/>
            <w:r>
              <w:t>Irine</w:t>
            </w:r>
            <w:proofErr w:type="spellEnd"/>
            <w:r>
              <w:t xml:space="preserve"> </w:t>
            </w:r>
            <w:proofErr w:type="spellStart"/>
            <w:r>
              <w:t>Chachanidze</w:t>
            </w:r>
            <w:proofErr w:type="spellEnd"/>
            <w:r>
              <w:t>; Tamar Guchua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Department/ Institute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E054BC">
            <w:pPr>
              <w:pStyle w:val="TableContents"/>
            </w:pPr>
            <w:r>
              <w:t>Department of general Linguistics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University/ Organization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E054BC">
            <w:pPr>
              <w:pStyle w:val="TableContents"/>
            </w:pPr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Tsereteli</w:t>
            </w:r>
            <w:proofErr w:type="spellEnd"/>
            <w:r>
              <w:t xml:space="preserve"> State University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City, Country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E054BC">
            <w:pPr>
              <w:pStyle w:val="TableContents"/>
            </w:pPr>
            <w:r>
              <w:t>Kutaisi, Georgia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Email ID 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8436E">
            <w:pPr>
              <w:pStyle w:val="TableContents"/>
            </w:pPr>
            <w:hyperlink r:id="rId5" w:history="1">
              <w:r w:rsidR="00E054BC" w:rsidRPr="00884EAF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ir.chachanidze@gmail.com</w:t>
              </w:r>
            </w:hyperlink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Email ID 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Pr="00E054BC" w:rsidRDefault="0048436E" w:rsidP="00E054BC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hyperlink r:id="rId6" w:history="1">
              <w:r w:rsidR="00E054BC" w:rsidRPr="00884EAF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me.tamuna@gmail.com</w:t>
              </w:r>
            </w:hyperlink>
            <w:r w:rsidR="00E054BC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</w:tr>
      <w:tr w:rsidR="008E379B">
        <w:tc>
          <w:tcPr>
            <w:tcW w:w="33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 xml:space="preserve">Participation Status </w:t>
            </w:r>
          </w:p>
          <w:p w:rsidR="008E379B" w:rsidRDefault="004104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(Select one by highlighting with </w:t>
            </w:r>
            <w:r>
              <w:rPr>
                <w:sz w:val="20"/>
                <w:szCs w:val="20"/>
                <w:shd w:val="clear" w:color="auto" w:fill="FFFF00"/>
              </w:rPr>
              <w:t>yellow</w:t>
            </w:r>
            <w:r>
              <w:rPr>
                <w:color w:val="000000"/>
                <w:sz w:val="20"/>
                <w:szCs w:val="20"/>
                <w:shd w:val="clear" w:color="auto" w:fill="FFFF00"/>
              </w:rPr>
              <w:t xml:space="preserve"> colour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Oral Presenter</w:t>
            </w:r>
          </w:p>
        </w:tc>
      </w:tr>
      <w:tr w:rsidR="008E379B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8E379B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 w:rsidRPr="00E054BC">
              <w:rPr>
                <w:highlight w:val="yellow"/>
              </w:rPr>
              <w:t>Online Presenter</w:t>
            </w:r>
          </w:p>
        </w:tc>
      </w:tr>
      <w:tr w:rsidR="008E379B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8E379B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Listener</w:t>
            </w:r>
          </w:p>
        </w:tc>
      </w:tr>
      <w:tr w:rsidR="008E379B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8E379B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Online Listener</w:t>
            </w:r>
          </w:p>
        </w:tc>
      </w:tr>
      <w:tr w:rsidR="008E379B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8E379B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Absentia</w:t>
            </w:r>
          </w:p>
        </w:tc>
      </w:tr>
      <w:tr w:rsidR="008E379B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8E379B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Poster Presenter</w:t>
            </w:r>
          </w:p>
        </w:tc>
      </w:tr>
      <w:tr w:rsidR="008E379B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8E379B" w:rsidRDefault="004104A2">
            <w:pPr>
              <w:pStyle w:val="TableContents"/>
            </w:pPr>
            <w:r>
              <w:t>Paper Title</w:t>
            </w:r>
          </w:p>
          <w:p w:rsidR="008E379B" w:rsidRDefault="004104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(Not applicable for Listener &amp; Online Listener)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BC" w:rsidRPr="00E054BC" w:rsidRDefault="00E054BC" w:rsidP="00E054BC">
            <w:pPr>
              <w:jc w:val="both"/>
              <w:rPr>
                <w:rFonts w:ascii="Sylfaen" w:hAnsi="Sylfaen"/>
                <w:sz w:val="22"/>
                <w:lang w:val="ka-GE"/>
              </w:rPr>
            </w:pPr>
            <w:r w:rsidRPr="00E054BC">
              <w:rPr>
                <w:rFonts w:ascii="Sylfaen" w:hAnsi="Sylfaen"/>
                <w:sz w:val="22"/>
                <w:lang w:val="en-US"/>
              </w:rPr>
              <w:t>The Russification L</w:t>
            </w:r>
            <w:r w:rsidRPr="00E054BC">
              <w:rPr>
                <w:rFonts w:ascii="Sylfaen" w:hAnsi="Sylfaen"/>
                <w:sz w:val="22"/>
                <w:lang w:val="ka-GE"/>
              </w:rPr>
              <w:t>anguage Policy: "</w:t>
            </w:r>
            <w:r w:rsidRPr="00E054BC">
              <w:rPr>
                <w:rFonts w:ascii="Sylfaen" w:hAnsi="Sylfaen"/>
                <w:sz w:val="22"/>
                <w:lang w:val="en-US"/>
              </w:rPr>
              <w:t>T</w:t>
            </w:r>
            <w:r>
              <w:rPr>
                <w:rFonts w:ascii="Sylfaen" w:hAnsi="Sylfaen"/>
                <w:sz w:val="22"/>
                <w:lang w:val="en-US"/>
              </w:rPr>
              <w:t xml:space="preserve">he Immersion Method” of </w:t>
            </w:r>
            <w:r w:rsidRPr="00E054BC">
              <w:rPr>
                <w:rFonts w:ascii="Sylfaen" w:hAnsi="Sylfaen"/>
                <w:sz w:val="22"/>
                <w:lang w:val="en-US"/>
              </w:rPr>
              <w:t xml:space="preserve">Teaching in </w:t>
            </w:r>
            <w:r w:rsidRPr="00E054BC">
              <w:rPr>
                <w:rFonts w:ascii="Sylfaen" w:hAnsi="Sylfaen"/>
                <w:sz w:val="22"/>
                <w:lang w:val="ka-GE"/>
              </w:rPr>
              <w:t>Georgia</w:t>
            </w:r>
            <w:r>
              <w:rPr>
                <w:rFonts w:ascii="Sylfaen" w:hAnsi="Sylfaen"/>
                <w:sz w:val="22"/>
                <w:lang w:val="en-US"/>
              </w:rPr>
              <w:t xml:space="preserve"> </w:t>
            </w:r>
            <w:r w:rsidRPr="00E054BC">
              <w:rPr>
                <w:rFonts w:ascii="Sylfaen" w:hAnsi="Sylfaen"/>
                <w:sz w:val="22"/>
                <w:lang w:val="ka-GE"/>
              </w:rPr>
              <w:t xml:space="preserve">(According to the Georgian Press of the First Half of </w:t>
            </w:r>
            <w:r w:rsidRPr="00E054BC">
              <w:rPr>
                <w:rFonts w:ascii="Sylfaen" w:hAnsi="Sylfaen"/>
                <w:sz w:val="22"/>
                <w:lang w:val="en-US"/>
              </w:rPr>
              <w:t>XX</w:t>
            </w:r>
            <w:r w:rsidRPr="00E054BC">
              <w:rPr>
                <w:rFonts w:ascii="Sylfaen" w:hAnsi="Sylfaen"/>
                <w:sz w:val="22"/>
                <w:lang w:val="ka-GE"/>
              </w:rPr>
              <w:t xml:space="preserve"> Century</w:t>
            </w:r>
            <w:r w:rsidRPr="00E054BC">
              <w:rPr>
                <w:rFonts w:ascii="Sylfaen" w:hAnsi="Sylfaen"/>
                <w:b/>
                <w:sz w:val="22"/>
                <w:lang w:val="ka-GE"/>
              </w:rPr>
              <w:t>)</w:t>
            </w:r>
          </w:p>
          <w:p w:rsidR="008E379B" w:rsidRPr="00E054BC" w:rsidRDefault="008E379B">
            <w:pPr>
              <w:pStyle w:val="TableContents"/>
              <w:rPr>
                <w:lang w:val="ka-GE"/>
              </w:rPr>
            </w:pPr>
          </w:p>
        </w:tc>
      </w:tr>
    </w:tbl>
    <w:p w:rsidR="008E379B" w:rsidRDefault="008E379B"/>
    <w:p w:rsidR="00E054BC" w:rsidRDefault="00E054BC" w:rsidP="00E054BC">
      <w:pPr>
        <w:ind w:firstLine="708"/>
        <w:jc w:val="center"/>
        <w:rPr>
          <w:rFonts w:ascii="Sylfaen" w:hAnsi="Sylfaen"/>
          <w:b/>
          <w:lang w:val="en-US"/>
        </w:rPr>
      </w:pPr>
    </w:p>
    <w:p w:rsidR="00E054BC" w:rsidRPr="00A01446" w:rsidRDefault="00E054BC" w:rsidP="00E054BC">
      <w:pPr>
        <w:ind w:firstLine="708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>The Russification L</w:t>
      </w:r>
      <w:r>
        <w:rPr>
          <w:rFonts w:ascii="Sylfaen" w:hAnsi="Sylfaen"/>
          <w:b/>
          <w:lang w:val="ka-GE"/>
        </w:rPr>
        <w:t>anguage P</w:t>
      </w:r>
      <w:r w:rsidRPr="00397E33">
        <w:rPr>
          <w:rFonts w:ascii="Sylfaen" w:hAnsi="Sylfaen"/>
          <w:b/>
          <w:lang w:val="ka-GE"/>
        </w:rPr>
        <w:t>olicy: "</w:t>
      </w:r>
      <w:r>
        <w:rPr>
          <w:rFonts w:ascii="Sylfaen" w:hAnsi="Sylfaen"/>
          <w:b/>
          <w:lang w:val="en-US"/>
        </w:rPr>
        <w:t xml:space="preserve">The Immersion Method” of Teaching in </w:t>
      </w:r>
      <w:r w:rsidRPr="00397E33">
        <w:rPr>
          <w:rFonts w:ascii="Sylfaen" w:hAnsi="Sylfaen"/>
          <w:b/>
          <w:lang w:val="ka-GE"/>
        </w:rPr>
        <w:t>Georgia</w:t>
      </w:r>
    </w:p>
    <w:p w:rsidR="00E054BC" w:rsidRDefault="00E054BC" w:rsidP="00E054BC">
      <w:pPr>
        <w:ind w:firstLine="708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(According to the Georgian Press of the First H</w:t>
      </w:r>
      <w:r w:rsidRPr="00397E33">
        <w:rPr>
          <w:rFonts w:ascii="Sylfaen" w:hAnsi="Sylfaen"/>
          <w:b/>
          <w:lang w:val="ka-GE"/>
        </w:rPr>
        <w:t xml:space="preserve">alf of </w:t>
      </w:r>
      <w:r>
        <w:rPr>
          <w:rFonts w:ascii="Sylfaen" w:hAnsi="Sylfaen"/>
          <w:b/>
          <w:lang w:val="en-US"/>
        </w:rPr>
        <w:t>XX</w:t>
      </w:r>
      <w:r>
        <w:rPr>
          <w:rFonts w:ascii="Sylfaen" w:hAnsi="Sylfaen"/>
          <w:b/>
          <w:lang w:val="ka-GE"/>
        </w:rPr>
        <w:t xml:space="preserve"> C</w:t>
      </w:r>
      <w:r w:rsidRPr="00397E33">
        <w:rPr>
          <w:rFonts w:ascii="Sylfaen" w:hAnsi="Sylfaen"/>
          <w:b/>
          <w:lang w:val="ka-GE"/>
        </w:rPr>
        <w:t>entury)</w:t>
      </w:r>
    </w:p>
    <w:p w:rsidR="00E054BC" w:rsidRDefault="00E054BC" w:rsidP="00E054BC">
      <w:pPr>
        <w:ind w:firstLine="708"/>
        <w:jc w:val="center"/>
        <w:rPr>
          <w:rFonts w:ascii="Sylfaen" w:hAnsi="Sylfaen"/>
          <w:b/>
          <w:lang w:val="ka-GE"/>
        </w:rPr>
      </w:pPr>
    </w:p>
    <w:p w:rsidR="00E054BC" w:rsidRPr="00DD5F27" w:rsidRDefault="00E054BC" w:rsidP="00E054BC">
      <w:pPr>
        <w:ind w:firstLine="708"/>
        <w:jc w:val="both"/>
        <w:rPr>
          <w:rFonts w:ascii="Sylfaen" w:hAnsi="Sylfaen"/>
          <w:lang w:val="en-US"/>
        </w:rPr>
      </w:pPr>
      <w:r w:rsidRPr="00DD5F27">
        <w:rPr>
          <w:rFonts w:ascii="Sylfaen" w:hAnsi="Sylfaen"/>
          <w:lang w:val="ka-GE"/>
        </w:rPr>
        <w:t xml:space="preserve">Russification refers to the policy of the Russian Empire </w:t>
      </w:r>
      <w:r w:rsidRPr="00DD5F27">
        <w:rPr>
          <w:rFonts w:ascii="Sylfaen" w:hAnsi="Sylfaen"/>
          <w:lang w:val="en-US"/>
        </w:rPr>
        <w:t xml:space="preserve">aimed at </w:t>
      </w:r>
      <w:proofErr w:type="spellStart"/>
      <w:r w:rsidRPr="00DD5F27">
        <w:rPr>
          <w:rFonts w:ascii="Sylfaen" w:hAnsi="Sylfaen"/>
          <w:lang w:val="en-US"/>
        </w:rPr>
        <w:t>russifying</w:t>
      </w:r>
      <w:proofErr w:type="spellEnd"/>
      <w:r>
        <w:rPr>
          <w:rFonts w:ascii="Sylfaen" w:hAnsi="Sylfaen"/>
          <w:lang w:val="en-US"/>
        </w:rPr>
        <w:t xml:space="preserve"> </w:t>
      </w:r>
      <w:r w:rsidRPr="00DD5F27">
        <w:rPr>
          <w:rFonts w:ascii="Sylfaen" w:hAnsi="Sylfaen"/>
          <w:lang w:val="ka-GE"/>
        </w:rPr>
        <w:t>the national minorities: the adoption of the Russian language and culture by non-Russian people through the process of assimilation</w:t>
      </w:r>
      <w:r>
        <w:rPr>
          <w:rFonts w:ascii="Sylfaen" w:hAnsi="Sylfaen"/>
          <w:lang w:val="en-US"/>
        </w:rPr>
        <w:t xml:space="preserve">. </w:t>
      </w:r>
      <w:r w:rsidRPr="00DD5F27">
        <w:rPr>
          <w:rFonts w:ascii="Sylfaen" w:hAnsi="Sylfaen"/>
          <w:lang w:val="en-US"/>
        </w:rPr>
        <w:t>Russia was the political center of the empire, and the laws and norms developed here were applied in other countries within the empire, including the annexed Georgia.</w:t>
      </w:r>
    </w:p>
    <w:p w:rsidR="00E054BC" w:rsidRPr="00DD5F27" w:rsidRDefault="00E054BC" w:rsidP="00E054BC">
      <w:pPr>
        <w:ind w:firstLine="708"/>
        <w:jc w:val="both"/>
        <w:rPr>
          <w:rFonts w:ascii="Sylfaen" w:hAnsi="Sylfaen"/>
          <w:lang w:val="en-US"/>
        </w:rPr>
      </w:pPr>
      <w:r w:rsidRPr="00DD5F27">
        <w:rPr>
          <w:rFonts w:ascii="Sylfaen" w:hAnsi="Sylfaen"/>
          <w:lang w:val="ka-GE"/>
        </w:rPr>
        <w:t xml:space="preserve">In 1902, by the decision of the Russian Imperial Government, </w:t>
      </w:r>
      <w:r w:rsidRPr="00DD5F27">
        <w:rPr>
          <w:rFonts w:ascii="Sylfaen" w:hAnsi="Sylfaen"/>
          <w:lang w:val="en-US"/>
        </w:rPr>
        <w:t>“the immersion method” of teaching</w:t>
      </w:r>
      <w:r>
        <w:rPr>
          <w:rFonts w:ascii="Sylfaen" w:hAnsi="Sylfaen"/>
          <w:lang w:val="en-US"/>
        </w:rPr>
        <w:t xml:space="preserve"> </w:t>
      </w:r>
      <w:r w:rsidRPr="00DD5F27">
        <w:rPr>
          <w:rFonts w:ascii="Sylfaen" w:hAnsi="Sylfaen"/>
          <w:lang w:val="en-US"/>
        </w:rPr>
        <w:t>was approved for Georgian schools</w:t>
      </w:r>
      <w:r w:rsidRPr="00DD5F27">
        <w:rPr>
          <w:rFonts w:ascii="Sylfaen" w:hAnsi="Sylfaen"/>
          <w:lang w:val="ka-GE"/>
        </w:rPr>
        <w:t xml:space="preserve">. </w:t>
      </w:r>
      <w:r w:rsidRPr="00DD5F27">
        <w:rPr>
          <w:rFonts w:ascii="Sylfaen" w:hAnsi="Sylfaen"/>
          <w:lang w:val="en-US"/>
        </w:rPr>
        <w:t>I</w:t>
      </w:r>
      <w:r w:rsidRPr="00DD5F27">
        <w:rPr>
          <w:rFonts w:ascii="Sylfaen" w:hAnsi="Sylfaen"/>
          <w:lang w:val="ka-GE"/>
        </w:rPr>
        <w:t xml:space="preserve">n special literature </w:t>
      </w:r>
      <w:r w:rsidRPr="00DD5F27">
        <w:rPr>
          <w:rFonts w:ascii="Sylfaen" w:hAnsi="Sylfaen"/>
          <w:lang w:val="en-US"/>
        </w:rPr>
        <w:t xml:space="preserve">it </w:t>
      </w:r>
      <w:r w:rsidRPr="00DD5F27">
        <w:rPr>
          <w:rFonts w:ascii="Sylfaen" w:hAnsi="Sylfaen"/>
          <w:lang w:val="ka-GE"/>
        </w:rPr>
        <w:t xml:space="preserve">is also known under the name of "Berlitz </w:t>
      </w:r>
      <w:r w:rsidRPr="00DD5F27">
        <w:rPr>
          <w:rFonts w:ascii="Sylfaen" w:hAnsi="Sylfaen"/>
          <w:lang w:val="en-US"/>
        </w:rPr>
        <w:t>M</w:t>
      </w:r>
      <w:r>
        <w:rPr>
          <w:rFonts w:ascii="Sylfaen" w:hAnsi="Sylfaen"/>
          <w:lang w:val="ka-GE"/>
        </w:rPr>
        <w:t>ethod"</w:t>
      </w:r>
      <w:r w:rsidRPr="00DD5F27">
        <w:rPr>
          <w:rFonts w:ascii="Sylfaen" w:hAnsi="Sylfaen"/>
          <w:lang w:val="ka-GE"/>
        </w:rPr>
        <w:t>.</w:t>
      </w:r>
      <w:r>
        <w:rPr>
          <w:rFonts w:ascii="Sylfaen" w:hAnsi="Sylfaen"/>
          <w:lang w:val="en-US"/>
        </w:rPr>
        <w:t xml:space="preserve"> </w:t>
      </w:r>
      <w:r w:rsidRPr="00DD5F27">
        <w:rPr>
          <w:rFonts w:ascii="Sylfaen" w:hAnsi="Sylfaen"/>
          <w:lang w:val="en-US"/>
        </w:rPr>
        <w:t xml:space="preserve">The so-called "immersion method" meant </w:t>
      </w:r>
      <w:r w:rsidRPr="00DD5F27">
        <w:rPr>
          <w:rFonts w:ascii="Sylfaen" w:hAnsi="Sylfaen"/>
          <w:lang w:val="ka-GE"/>
        </w:rPr>
        <w:t xml:space="preserve">acquiring the Russian language without </w:t>
      </w:r>
      <w:r>
        <w:rPr>
          <w:rFonts w:ascii="Sylfaen" w:hAnsi="Sylfaen"/>
          <w:lang w:val="en-US"/>
        </w:rPr>
        <w:t xml:space="preserve">using </w:t>
      </w:r>
      <w:r w:rsidRPr="00DD5F27">
        <w:rPr>
          <w:rFonts w:ascii="Sylfaen" w:hAnsi="Sylfaen"/>
          <w:lang w:val="ka-GE"/>
        </w:rPr>
        <w:t>the Georgian language. Russian teachers worked with Georgian students who did not know Russian and used gesticulation for communication, i.e. "the immersion method".</w:t>
      </w:r>
    </w:p>
    <w:p w:rsidR="00E054BC" w:rsidRPr="00DD5F27" w:rsidRDefault="00E054BC" w:rsidP="00E054BC">
      <w:pPr>
        <w:ind w:firstLine="708"/>
        <w:jc w:val="both"/>
        <w:rPr>
          <w:rFonts w:ascii="Sylfaen" w:hAnsi="Sylfaen"/>
          <w:lang w:val="ka-GE"/>
        </w:rPr>
      </w:pPr>
      <w:r w:rsidRPr="00DD5F27">
        <w:rPr>
          <w:rFonts w:ascii="Sylfaen" w:hAnsi="Sylfaen"/>
          <w:lang w:val="ka-GE"/>
        </w:rPr>
        <w:t xml:space="preserve">The </w:t>
      </w:r>
      <w:r w:rsidRPr="00DD5F27">
        <w:rPr>
          <w:rFonts w:ascii="Sylfaen" w:hAnsi="Sylfaen"/>
          <w:lang w:val="en-US"/>
        </w:rPr>
        <w:t>paper aims at studying</w:t>
      </w:r>
      <w:r w:rsidRPr="00DD5F27">
        <w:rPr>
          <w:rFonts w:ascii="Sylfaen" w:hAnsi="Sylfaen"/>
          <w:lang w:val="ka-GE"/>
        </w:rPr>
        <w:t xml:space="preserve"> the problems of "</w:t>
      </w:r>
      <w:r w:rsidRPr="00DD5F27">
        <w:rPr>
          <w:rFonts w:ascii="Sylfaen" w:hAnsi="Sylfaen"/>
          <w:lang w:val="en-US"/>
        </w:rPr>
        <w:t>the immersion</w:t>
      </w:r>
      <w:r w:rsidRPr="00DD5F27">
        <w:rPr>
          <w:rFonts w:ascii="Sylfaen" w:hAnsi="Sylfaen"/>
          <w:lang w:val="ka-GE"/>
        </w:rPr>
        <w:t xml:space="preserve"> method" of teaching in Georgian schools in the first half of XX century. The digital corpus of Georgian-language magazines and newspapers of the given period is used as empirical evidence.</w:t>
      </w:r>
    </w:p>
    <w:p w:rsidR="00E054BC" w:rsidRPr="00DD5F27" w:rsidRDefault="00E054BC" w:rsidP="00E054BC">
      <w:pPr>
        <w:ind w:firstLine="567"/>
        <w:jc w:val="both"/>
        <w:rPr>
          <w:rFonts w:ascii="Sylfaen" w:hAnsi="Sylfaen"/>
          <w:lang w:val="en-US"/>
        </w:rPr>
      </w:pPr>
      <w:r w:rsidRPr="00DD5F27">
        <w:rPr>
          <w:rFonts w:ascii="Sylfaen" w:hAnsi="Sylfaen"/>
          <w:lang w:val="ka-GE"/>
        </w:rPr>
        <w:lastRenderedPageBreak/>
        <w:t>The research methodology is based on collecting illustrative material</w:t>
      </w:r>
      <w:r w:rsidRPr="00DD5F27">
        <w:rPr>
          <w:rFonts w:ascii="Sylfaen" w:hAnsi="Sylfaen"/>
          <w:lang w:val="en-US"/>
        </w:rPr>
        <w:t>s</w:t>
      </w:r>
      <w:r w:rsidRPr="00DD5F27">
        <w:rPr>
          <w:rFonts w:ascii="Sylfaen" w:hAnsi="Sylfaen"/>
          <w:lang w:val="ka-GE"/>
        </w:rPr>
        <w:t xml:space="preserve"> of "the immersion method" of teaching, and finding the answers to the following questions using the method of the sociolinguistic analysis: 1)</w:t>
      </w:r>
      <w:r>
        <w:rPr>
          <w:rFonts w:ascii="Sylfaen" w:hAnsi="Sylfaen"/>
          <w:lang w:val="en-US"/>
        </w:rPr>
        <w:t xml:space="preserve"> </w:t>
      </w:r>
      <w:r w:rsidRPr="00DD5F27">
        <w:rPr>
          <w:rFonts w:ascii="Sylfaen" w:hAnsi="Sylfaen"/>
          <w:lang w:val="ka-GE"/>
        </w:rPr>
        <w:t>To what extent was "the immersion method" of teaching justified in the Russification language policy of the first half of XX centuryin Georgia?</w:t>
      </w:r>
      <w:r>
        <w:rPr>
          <w:rFonts w:ascii="Sylfaen" w:hAnsi="Sylfaen"/>
          <w:lang w:val="en-US"/>
        </w:rPr>
        <w:t xml:space="preserve"> </w:t>
      </w:r>
      <w:r w:rsidRPr="00DD5F27">
        <w:rPr>
          <w:rFonts w:ascii="Sylfaen" w:hAnsi="Sylfaen"/>
          <w:lang w:val="en-US"/>
        </w:rPr>
        <w:t xml:space="preserve">2) </w:t>
      </w:r>
      <w:r w:rsidRPr="00DD5F27">
        <w:rPr>
          <w:rFonts w:ascii="Sylfaen" w:hAnsi="Sylfaen"/>
          <w:lang w:val="ka-GE"/>
        </w:rPr>
        <w:t>Under the Russific</w:t>
      </w:r>
      <w:r w:rsidRPr="00DD5F27">
        <w:rPr>
          <w:rFonts w:ascii="Sylfaen" w:hAnsi="Sylfaen"/>
          <w:lang w:val="en-US"/>
        </w:rPr>
        <w:t>a</w:t>
      </w:r>
      <w:r w:rsidRPr="00DD5F27">
        <w:rPr>
          <w:rFonts w:ascii="Sylfaen" w:hAnsi="Sylfaen"/>
          <w:lang w:val="ka-GE"/>
        </w:rPr>
        <w:t xml:space="preserve">tion language policy in Georgia, in what directions was the protection of the Georgian language </w:t>
      </w:r>
      <w:r w:rsidRPr="00DD5F27">
        <w:rPr>
          <w:rFonts w:ascii="Sylfaen" w:hAnsi="Sylfaen"/>
          <w:lang w:val="en-US"/>
        </w:rPr>
        <w:t>provided</w:t>
      </w:r>
      <w:r w:rsidRPr="00DD5F27">
        <w:rPr>
          <w:rFonts w:ascii="Sylfaen" w:hAnsi="Sylfaen"/>
          <w:lang w:val="ka-GE"/>
        </w:rPr>
        <w:t>?</w:t>
      </w:r>
    </w:p>
    <w:p w:rsidR="00E054BC" w:rsidRPr="00DD5F27" w:rsidRDefault="00E054BC" w:rsidP="00E054BC">
      <w:pPr>
        <w:ind w:firstLine="567"/>
        <w:jc w:val="both"/>
        <w:rPr>
          <w:rFonts w:ascii="Sylfaen" w:hAnsi="Sylfaen"/>
          <w:lang w:val="ka-GE"/>
        </w:rPr>
      </w:pPr>
      <w:r w:rsidRPr="00DD5F27">
        <w:rPr>
          <w:rFonts w:ascii="Sylfaen" w:hAnsi="Sylfaen"/>
          <w:lang w:val="ka-GE"/>
        </w:rPr>
        <w:t>Such an approach to the issue will give us the opportunity to see the dangers of the Russification language policy from a historical point of view: 1) Under what pressure the Georgian language had to function and 2) What kind of Russificaiton language policy was carr</w:t>
      </w:r>
      <w:r>
        <w:rPr>
          <w:rFonts w:ascii="Sylfaen" w:hAnsi="Sylfaen"/>
          <w:lang w:val="ka-GE"/>
        </w:rPr>
        <w:t>ied out in the education system</w:t>
      </w:r>
      <w:r w:rsidRPr="00DD5F27">
        <w:rPr>
          <w:rFonts w:ascii="Sylfaen" w:hAnsi="Sylfaen"/>
          <w:lang w:val="ka-GE"/>
        </w:rPr>
        <w:t xml:space="preserve">. </w:t>
      </w:r>
    </w:p>
    <w:p w:rsidR="00E054BC" w:rsidRPr="00A01446" w:rsidRDefault="00E054BC" w:rsidP="00E054BC">
      <w:pPr>
        <w:ind w:firstLine="708"/>
        <w:jc w:val="both"/>
        <w:rPr>
          <w:rFonts w:ascii="Sylfaen" w:hAnsi="Sylfaen"/>
          <w:lang w:val="ka-GE"/>
        </w:rPr>
      </w:pPr>
    </w:p>
    <w:p w:rsidR="00E054BC" w:rsidRDefault="00E054BC" w:rsidP="00E054BC">
      <w:pPr>
        <w:jc w:val="both"/>
        <w:rPr>
          <w:rFonts w:ascii="Sylfaen" w:hAnsi="Sylfaen"/>
          <w:lang w:val="ka-GE"/>
        </w:rPr>
      </w:pPr>
      <w:r w:rsidRPr="00397E33">
        <w:rPr>
          <w:rFonts w:ascii="Sylfaen" w:hAnsi="Sylfaen"/>
          <w:b/>
          <w:lang w:val="ka-GE"/>
        </w:rPr>
        <w:t>Keywords:</w:t>
      </w:r>
      <w:r w:rsidRPr="00397E33">
        <w:rPr>
          <w:rFonts w:ascii="Sylfaen" w:hAnsi="Sylfaen"/>
          <w:lang w:val="ka-GE"/>
        </w:rPr>
        <w:t xml:space="preserve"> Georgia; </w:t>
      </w:r>
      <w:r>
        <w:rPr>
          <w:rFonts w:ascii="Sylfaen" w:hAnsi="Sylfaen"/>
          <w:lang w:val="en-US"/>
        </w:rPr>
        <w:t>r</w:t>
      </w:r>
      <w:r w:rsidRPr="00397E33">
        <w:rPr>
          <w:rFonts w:ascii="Sylfaen" w:hAnsi="Sylfaen"/>
          <w:lang w:val="ka-GE"/>
        </w:rPr>
        <w:t>ussification; language policy; "</w:t>
      </w:r>
      <w:r>
        <w:rPr>
          <w:rFonts w:ascii="Sylfaen" w:hAnsi="Sylfaen"/>
          <w:lang w:val="ka-GE"/>
        </w:rPr>
        <w:t>i</w:t>
      </w:r>
      <w:r w:rsidRPr="008A7735">
        <w:rPr>
          <w:rFonts w:ascii="Sylfaen" w:hAnsi="Sylfaen"/>
          <w:lang w:val="ka-GE"/>
        </w:rPr>
        <w:t>mmersion method</w:t>
      </w:r>
      <w:r w:rsidRPr="00397E33">
        <w:rPr>
          <w:rFonts w:ascii="Sylfaen" w:hAnsi="Sylfaen"/>
          <w:lang w:val="ka-GE"/>
        </w:rPr>
        <w:t>".</w:t>
      </w:r>
    </w:p>
    <w:p w:rsidR="00E054BC" w:rsidRPr="0027351A" w:rsidRDefault="00E054BC" w:rsidP="00E054BC">
      <w:pPr>
        <w:jc w:val="both"/>
        <w:rPr>
          <w:rFonts w:ascii="Sylfaen" w:hAnsi="Sylfaen"/>
          <w:lang w:val="ka-GE"/>
        </w:rPr>
      </w:pPr>
    </w:p>
    <w:p w:rsidR="008E379B" w:rsidRDefault="008E379B" w:rsidP="00E054BC">
      <w:pPr>
        <w:jc w:val="both"/>
        <w:rPr>
          <w:rFonts w:asciiTheme="minorHAnsi" w:hAnsiTheme="minorHAnsi"/>
          <w:lang w:val="ka-GE"/>
        </w:rPr>
      </w:pPr>
    </w:p>
    <w:p w:rsidR="00E054BC" w:rsidRPr="00E054BC" w:rsidRDefault="00E054BC" w:rsidP="00E054BC">
      <w:pPr>
        <w:jc w:val="both"/>
        <w:rPr>
          <w:rFonts w:asciiTheme="minorHAnsi" w:hAnsiTheme="minorHAnsi"/>
          <w:lang w:val="ka-GE"/>
        </w:rPr>
      </w:pPr>
    </w:p>
    <w:sectPr w:rsidR="00E054BC" w:rsidRPr="00E054B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pple Chancery">
    <w:altName w:val="Times New Roman"/>
    <w:charset w:val="01"/>
    <w:family w:val="roman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B"/>
    <w:rsid w:val="004104A2"/>
    <w:rsid w:val="0048436E"/>
    <w:rsid w:val="008E379B"/>
    <w:rsid w:val="00E0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08109-9EA1-47A9-86C3-9C5D58A5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iPriority w:val="99"/>
    <w:unhideWhenUsed/>
    <w:rsid w:val="00E05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.tamuna@gmail.com" TargetMode="External"/><Relationship Id="rId5" Type="http://schemas.openxmlformats.org/officeDocument/2006/relationships/hyperlink" Target="mailto:ir.chachanidz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Tamar Guchua</cp:lastModifiedBy>
  <cp:revision>5</cp:revision>
  <dcterms:created xsi:type="dcterms:W3CDTF">2023-02-09T14:38:00Z</dcterms:created>
  <dcterms:modified xsi:type="dcterms:W3CDTF">2024-01-25T11:00:00Z</dcterms:modified>
  <dc:language>en-GB</dc:language>
</cp:coreProperties>
</file>