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7D" w:rsidRPr="00630BAD" w:rsidRDefault="00347A7D" w:rsidP="00347A7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30BAD">
        <w:rPr>
          <w:rFonts w:ascii="Times New Roman" w:hAnsi="Times New Roman" w:cs="Times New Roman"/>
          <w:b/>
          <w:bCs/>
          <w:color w:val="000000" w:themeColor="text1"/>
        </w:rPr>
        <w:t xml:space="preserve">How academics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deal with </w:t>
      </w:r>
      <w:r w:rsidRPr="00630BAD">
        <w:rPr>
          <w:rFonts w:ascii="Times New Roman" w:hAnsi="Times New Roman" w:cs="Times New Roman"/>
          <w:b/>
          <w:bCs/>
          <w:color w:val="000000" w:themeColor="text1"/>
        </w:rPr>
        <w:t xml:space="preserve">the </w:t>
      </w:r>
      <w:r>
        <w:rPr>
          <w:rFonts w:ascii="Times New Roman" w:hAnsi="Times New Roman" w:cs="Times New Roman"/>
          <w:b/>
          <w:bCs/>
          <w:color w:val="000000" w:themeColor="text1"/>
        </w:rPr>
        <w:t>increasing</w:t>
      </w:r>
      <w:r w:rsidRPr="00630BA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demand for participating in applied projects</w:t>
      </w:r>
      <w:r w:rsidRPr="00630BAD">
        <w:rPr>
          <w:rFonts w:ascii="Times New Roman" w:hAnsi="Times New Roman" w:cs="Times New Roman"/>
          <w:b/>
          <w:bCs/>
          <w:color w:val="000000" w:themeColor="text1"/>
        </w:rPr>
        <w:t xml:space="preserve">: a case study of two universities in Mainland China </w:t>
      </w:r>
    </w:p>
    <w:p w:rsidR="00347A7D" w:rsidRPr="00630BAD" w:rsidRDefault="00347A7D" w:rsidP="00347A7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BAD">
        <w:rPr>
          <w:rFonts w:ascii="Times New Roman" w:hAnsi="Times New Roman" w:cs="Times New Roman"/>
          <w:color w:val="000000" w:themeColor="text1"/>
          <w:sz w:val="20"/>
          <w:szCs w:val="20"/>
        </w:rPr>
        <w:t>Manhong LAI</w:t>
      </w:r>
    </w:p>
    <w:p w:rsidR="00347A7D" w:rsidRDefault="00347A7D" w:rsidP="00347A7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BAD">
        <w:rPr>
          <w:rFonts w:ascii="Times New Roman" w:hAnsi="Times New Roman" w:cs="Times New Roman"/>
          <w:color w:val="000000" w:themeColor="text1"/>
          <w:sz w:val="20"/>
          <w:szCs w:val="20"/>
        </w:rPr>
        <w:t>The Chinese University of Hong Kong</w:t>
      </w:r>
    </w:p>
    <w:p w:rsidR="00347A7D" w:rsidRPr="00630BAD" w:rsidRDefault="00347A7D" w:rsidP="00347A7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7A7D" w:rsidRDefault="00347A7D" w:rsidP="00347A7D">
      <w:pPr>
        <w:rPr>
          <w:rFonts w:ascii="Times New Roman" w:hAnsi="Times New Roman" w:cs="Times New Roman"/>
          <w:color w:val="000000" w:themeColor="text1"/>
        </w:rPr>
      </w:pPr>
      <w:r w:rsidRPr="00A3123C">
        <w:rPr>
          <w:rFonts w:ascii="Times New Roman" w:hAnsi="Times New Roman" w:cs="Times New Roman" w:hint="eastAsia"/>
          <w:b/>
          <w:bCs/>
          <w:color w:val="000000" w:themeColor="text1"/>
        </w:rPr>
        <w:t>A</w:t>
      </w:r>
      <w:r w:rsidRPr="00A3123C">
        <w:rPr>
          <w:rFonts w:ascii="Times New Roman" w:hAnsi="Times New Roman" w:cs="Times New Roman"/>
          <w:b/>
          <w:bCs/>
          <w:color w:val="000000" w:themeColor="text1"/>
        </w:rPr>
        <w:t>bstract: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84DF2">
        <w:rPr>
          <w:rFonts w:ascii="Times New Roman" w:hAnsi="Times New Roman" w:cs="Times New Roman"/>
          <w:bCs/>
          <w:color w:val="000000" w:themeColor="text1"/>
        </w:rPr>
        <w:t>T</w:t>
      </w:r>
      <w:r w:rsidRPr="003356E0">
        <w:rPr>
          <w:rFonts w:ascii="Times New Roman" w:hAnsi="Times New Roman" w:cs="Times New Roman"/>
          <w:color w:val="000000" w:themeColor="text1"/>
        </w:rPr>
        <w:t>he Chinese government promulgate</w:t>
      </w:r>
      <w:r>
        <w:rPr>
          <w:rFonts w:ascii="Times New Roman" w:hAnsi="Times New Roman" w:cs="Times New Roman"/>
          <w:color w:val="000000" w:themeColor="text1"/>
        </w:rPr>
        <w:t>s</w:t>
      </w:r>
      <w:r w:rsidRPr="003356E0">
        <w:rPr>
          <w:rFonts w:ascii="Times New Roman" w:hAnsi="Times New Roman" w:cs="Times New Roman"/>
          <w:color w:val="000000" w:themeColor="text1"/>
        </w:rPr>
        <w:t xml:space="preserve"> a number of</w:t>
      </w:r>
      <w:r>
        <w:rPr>
          <w:rFonts w:ascii="Times New Roman" w:hAnsi="Times New Roman" w:cs="Times New Roman"/>
          <w:color w:val="000000" w:themeColor="text1"/>
        </w:rPr>
        <w:t xml:space="preserve"> policies to support</w:t>
      </w:r>
      <w:r w:rsidRPr="003356E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collaboration among i</w:t>
      </w:r>
      <w:r w:rsidRPr="00630BAD">
        <w:rPr>
          <w:rFonts w:ascii="Times New Roman" w:hAnsi="Times New Roman" w:cs="Times New Roman"/>
          <w:color w:val="000000" w:themeColor="text1"/>
        </w:rPr>
        <w:t>ndustry</w:t>
      </w:r>
      <w:r>
        <w:rPr>
          <w:rFonts w:ascii="Times New Roman" w:hAnsi="Times New Roman" w:cs="Times New Roman"/>
          <w:color w:val="000000" w:themeColor="text1"/>
        </w:rPr>
        <w:t>, u</w:t>
      </w:r>
      <w:r w:rsidRPr="00630BAD">
        <w:rPr>
          <w:rFonts w:ascii="Times New Roman" w:hAnsi="Times New Roman" w:cs="Times New Roman"/>
          <w:color w:val="000000" w:themeColor="text1"/>
        </w:rPr>
        <w:t>niversity</w:t>
      </w:r>
      <w:r>
        <w:rPr>
          <w:rFonts w:ascii="Times New Roman" w:hAnsi="Times New Roman" w:cs="Times New Roman"/>
          <w:color w:val="000000" w:themeColor="text1"/>
        </w:rPr>
        <w:t xml:space="preserve"> and r</w:t>
      </w:r>
      <w:r w:rsidRPr="00630BAD">
        <w:rPr>
          <w:rFonts w:ascii="Times New Roman" w:hAnsi="Times New Roman" w:cs="Times New Roman"/>
          <w:color w:val="000000" w:themeColor="text1"/>
        </w:rPr>
        <w:t>esearch</w:t>
      </w:r>
      <w:r>
        <w:rPr>
          <w:rFonts w:ascii="Times New Roman" w:hAnsi="Times New Roman" w:cs="Times New Roman"/>
          <w:color w:val="000000" w:themeColor="text1"/>
        </w:rPr>
        <w:t xml:space="preserve">. It </w:t>
      </w:r>
      <w:r w:rsidRPr="003356E0">
        <w:rPr>
          <w:rFonts w:ascii="Times New Roman" w:hAnsi="Times New Roman" w:cs="Times New Roman"/>
          <w:color w:val="000000" w:themeColor="text1"/>
        </w:rPr>
        <w:t xml:space="preserve">provides </w:t>
      </w:r>
      <w:r>
        <w:rPr>
          <w:rFonts w:ascii="Times New Roman" w:hAnsi="Times New Roman" w:cs="Times New Roman"/>
          <w:color w:val="000000" w:themeColor="text1"/>
        </w:rPr>
        <w:t>additional</w:t>
      </w:r>
      <w:r w:rsidRPr="003356E0">
        <w:rPr>
          <w:rFonts w:ascii="Times New Roman" w:hAnsi="Times New Roman" w:cs="Times New Roman"/>
          <w:color w:val="000000" w:themeColor="text1"/>
        </w:rPr>
        <w:t xml:space="preserve"> funding and incentives to attract </w:t>
      </w:r>
      <w:r>
        <w:rPr>
          <w:rFonts w:ascii="Times New Roman" w:hAnsi="Times New Roman" w:cs="Times New Roman"/>
          <w:color w:val="000000" w:themeColor="text1"/>
        </w:rPr>
        <w:t>academics</w:t>
      </w:r>
      <w:r w:rsidRPr="003356E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to </w:t>
      </w:r>
      <w:r w:rsidRPr="003356E0">
        <w:rPr>
          <w:rFonts w:ascii="Times New Roman" w:hAnsi="Times New Roman" w:cs="Times New Roman"/>
          <w:color w:val="000000" w:themeColor="text1"/>
        </w:rPr>
        <w:t>participat</w:t>
      </w:r>
      <w:r>
        <w:rPr>
          <w:rFonts w:ascii="Times New Roman" w:hAnsi="Times New Roman" w:cs="Times New Roman"/>
          <w:color w:val="000000" w:themeColor="text1"/>
        </w:rPr>
        <w:t>e more</w:t>
      </w:r>
      <w:r w:rsidRPr="003356E0">
        <w:rPr>
          <w:rFonts w:ascii="Times New Roman" w:hAnsi="Times New Roman" w:cs="Times New Roman"/>
          <w:color w:val="000000" w:themeColor="text1"/>
        </w:rPr>
        <w:t xml:space="preserve"> in </w:t>
      </w:r>
      <w:r>
        <w:rPr>
          <w:rFonts w:ascii="Times New Roman" w:hAnsi="Times New Roman" w:cs="Times New Roman"/>
          <w:color w:val="000000" w:themeColor="text1"/>
        </w:rPr>
        <w:t>applied</w:t>
      </w:r>
      <w:r w:rsidRPr="003356E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research</w:t>
      </w:r>
      <w:r>
        <w:rPr>
          <w:rFonts w:ascii="Times New Roman" w:hAnsi="Times New Roman" w:cs="Times New Roman"/>
          <w:color w:val="000000" w:themeColor="text1"/>
        </w:rPr>
        <w:t xml:space="preserve"> and collaborate with business sectors</w:t>
      </w:r>
      <w:r w:rsidRPr="003356E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D15C4">
        <w:rPr>
          <w:rFonts w:ascii="Times New Roman" w:hAnsi="Times New Roman" w:cs="Times New Roman"/>
          <w:color w:val="000000" w:themeColor="text1"/>
        </w:rPr>
        <w:t xml:space="preserve">Facing the </w:t>
      </w:r>
      <w:r>
        <w:rPr>
          <w:rFonts w:ascii="Times New Roman" w:hAnsi="Times New Roman" w:cs="Times New Roman"/>
          <w:color w:val="000000" w:themeColor="text1"/>
        </w:rPr>
        <w:t xml:space="preserve">increasing </w:t>
      </w:r>
      <w:r w:rsidRPr="001D15C4">
        <w:rPr>
          <w:rFonts w:ascii="Times New Roman" w:hAnsi="Times New Roman" w:cs="Times New Roman"/>
          <w:color w:val="000000" w:themeColor="text1"/>
        </w:rPr>
        <w:t>demand</w:t>
      </w:r>
      <w:r>
        <w:rPr>
          <w:rFonts w:ascii="Times New Roman" w:hAnsi="Times New Roman" w:cs="Times New Roman"/>
          <w:color w:val="000000" w:themeColor="text1"/>
        </w:rPr>
        <w:t>s</w:t>
      </w:r>
      <w:r w:rsidRPr="001D15C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to</w:t>
      </w:r>
      <w:r w:rsidRPr="001D15C4">
        <w:rPr>
          <w:rFonts w:ascii="Times New Roman" w:hAnsi="Times New Roman" w:cs="Times New Roman"/>
          <w:color w:val="000000" w:themeColor="text1"/>
        </w:rPr>
        <w:t xml:space="preserve"> collaborat</w:t>
      </w:r>
      <w:r>
        <w:rPr>
          <w:rFonts w:ascii="Times New Roman" w:hAnsi="Times New Roman" w:cs="Times New Roman"/>
          <w:color w:val="000000" w:themeColor="text1"/>
        </w:rPr>
        <w:t>e</w:t>
      </w:r>
      <w:r w:rsidRPr="001D15C4">
        <w:rPr>
          <w:rFonts w:ascii="Times New Roman" w:hAnsi="Times New Roman" w:cs="Times New Roman"/>
          <w:color w:val="000000" w:themeColor="text1"/>
        </w:rPr>
        <w:t xml:space="preserve"> with </w:t>
      </w:r>
      <w:r>
        <w:rPr>
          <w:rFonts w:ascii="Times New Roman" w:hAnsi="Times New Roman" w:cs="Times New Roman"/>
          <w:color w:val="000000" w:themeColor="text1"/>
        </w:rPr>
        <w:t>external funders</w:t>
      </w:r>
      <w:r w:rsidRPr="001D15C4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academics</w:t>
      </w:r>
      <w:r w:rsidRPr="001D15C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use</w:t>
      </w:r>
      <w:r w:rsidRPr="001D15C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various</w:t>
      </w:r>
      <w:r w:rsidRPr="001D15C4">
        <w:rPr>
          <w:rFonts w:ascii="Times New Roman" w:hAnsi="Times New Roman" w:cs="Times New Roman"/>
          <w:color w:val="000000" w:themeColor="text1"/>
        </w:rPr>
        <w:t xml:space="preserve"> strategies to respond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630BAD">
        <w:rPr>
          <w:rFonts w:ascii="Times New Roman" w:hAnsi="Times New Roman" w:cs="Times New Roman"/>
          <w:color w:val="000000" w:themeColor="text1"/>
        </w:rPr>
        <w:t>This study employed a qualitative research approach</w:t>
      </w:r>
      <w:r>
        <w:rPr>
          <w:rFonts w:ascii="Times New Roman" w:hAnsi="Times New Roman" w:cs="Times New Roman"/>
          <w:color w:val="000000" w:themeColor="text1"/>
        </w:rPr>
        <w:t xml:space="preserve">; we interviewed </w:t>
      </w:r>
      <w:r w:rsidRPr="00630BAD">
        <w:rPr>
          <w:rFonts w:ascii="Times New Roman" w:hAnsi="Times New Roman" w:cs="Times New Roman"/>
          <w:color w:val="000000" w:themeColor="text1"/>
        </w:rPr>
        <w:t>32 informants from one first-tier university and one second-tier university in Mainland China.</w:t>
      </w:r>
      <w:r>
        <w:rPr>
          <w:rFonts w:ascii="Times New Roman" w:hAnsi="Times New Roman" w:cs="Times New Roman"/>
          <w:color w:val="000000" w:themeColor="text1"/>
        </w:rPr>
        <w:t xml:space="preserve"> Our study found that first, academics</w:t>
      </w:r>
      <w:r w:rsidRPr="003F1A8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 w:hint="eastAsia"/>
          <w:color w:val="000000" w:themeColor="text1"/>
        </w:rPr>
        <w:t xml:space="preserve"> exposed</w:t>
      </w:r>
      <w:r>
        <w:rPr>
          <w:rFonts w:ascii="Times New Roman" w:hAnsi="Times New Roman" w:cs="Times New Roman"/>
          <w:color w:val="000000" w:themeColor="text1"/>
        </w:rPr>
        <w:t xml:space="preserve"> to market logic through early exposure in their graduate programs and informal communication at faculty and department level.</w:t>
      </w:r>
      <w:r w:rsidRPr="003F1A84">
        <w:rPr>
          <w:rFonts w:ascii="Times New Roman" w:hAnsi="Times New Roman" w:cs="Times New Roman"/>
          <w:color w:val="000000" w:themeColor="text1"/>
        </w:rPr>
        <w:t xml:space="preserve"> Second, most </w:t>
      </w:r>
      <w:r>
        <w:rPr>
          <w:rFonts w:ascii="Times New Roman" w:hAnsi="Times New Roman" w:cs="Times New Roman"/>
          <w:color w:val="000000" w:themeColor="text1"/>
        </w:rPr>
        <w:t>academics</w:t>
      </w:r>
      <w:r w:rsidRPr="003F1A8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are moderately familiar with market logic but have found ways to maintain limited academic autonomy in the process of applied projects</w:t>
      </w:r>
      <w:r w:rsidRPr="003F1A84">
        <w:rPr>
          <w:rFonts w:ascii="Times New Roman" w:hAnsi="Times New Roman" w:cs="Times New Roman"/>
          <w:color w:val="000000" w:themeColor="text1"/>
        </w:rPr>
        <w:t xml:space="preserve">. Third, </w:t>
      </w:r>
      <w:r>
        <w:rPr>
          <w:rFonts w:ascii="Times New Roman" w:hAnsi="Times New Roman" w:cs="Times New Roman"/>
          <w:color w:val="000000" w:themeColor="text1"/>
        </w:rPr>
        <w:t>academics</w:t>
      </w:r>
      <w:r w:rsidRPr="003F1A8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package their proposals with trendy topics and highlight their professional image to deal with the increasing market demands</w:t>
      </w:r>
      <w:r w:rsidRPr="003F1A84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347A7D" w:rsidRDefault="00347A7D" w:rsidP="00347A7D">
      <w:pPr>
        <w:rPr>
          <w:rFonts w:ascii="Times New Roman" w:hAnsi="Times New Roman" w:cs="Times New Roman"/>
          <w:color w:val="000000" w:themeColor="text1"/>
        </w:rPr>
      </w:pPr>
    </w:p>
    <w:p w:rsidR="00A95ECD" w:rsidRDefault="00A95ECD" w:rsidP="00347A7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Keywords: Academic capitalism, applied research, collaboration between university and business sectors, </w:t>
      </w:r>
      <w:r w:rsidR="008A3073">
        <w:rPr>
          <w:rFonts w:ascii="Times New Roman" w:hAnsi="Times New Roman" w:cs="Times New Roman"/>
          <w:color w:val="000000" w:themeColor="text1"/>
        </w:rPr>
        <w:t>competing</w:t>
      </w:r>
      <w:r>
        <w:rPr>
          <w:rFonts w:ascii="Times New Roman" w:hAnsi="Times New Roman" w:cs="Times New Roman"/>
          <w:color w:val="000000" w:themeColor="text1"/>
        </w:rPr>
        <w:t xml:space="preserve"> logic</w:t>
      </w:r>
      <w:r w:rsidR="008A3073">
        <w:rPr>
          <w:rFonts w:ascii="Times New Roman" w:hAnsi="Times New Roman" w:cs="Times New Roman"/>
          <w:color w:val="000000" w:themeColor="text1"/>
        </w:rPr>
        <w:t>s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.   </w:t>
      </w:r>
    </w:p>
    <w:p w:rsidR="00A95ECD" w:rsidRDefault="00A95ECD" w:rsidP="00347A7D">
      <w:pPr>
        <w:rPr>
          <w:rFonts w:ascii="Times New Roman" w:hAnsi="Times New Roman" w:cs="Times New Roman"/>
          <w:color w:val="000000" w:themeColor="text1"/>
        </w:rPr>
      </w:pPr>
    </w:p>
    <w:p w:rsidR="00347A7D" w:rsidRPr="00347A7D" w:rsidRDefault="00347A7D" w:rsidP="00347A7D">
      <w:pPr>
        <w:rPr>
          <w:rFonts w:ascii="Times New Roman" w:hAnsi="Times New Roman" w:cs="Times New Roman"/>
        </w:rPr>
      </w:pPr>
      <w:r w:rsidRPr="00347A7D">
        <w:rPr>
          <w:rFonts w:ascii="Times New Roman" w:hAnsi="Times New Roman" w:cs="Times New Roman"/>
          <w:color w:val="444444"/>
          <w:shd w:val="clear" w:color="auto" w:fill="FFFFFF"/>
        </w:rPr>
        <w:t>A paper presented at the </w:t>
      </w:r>
      <w:r w:rsidRPr="00347A7D">
        <w:rPr>
          <w:rStyle w:val="a7"/>
          <w:rFonts w:ascii="Times New Roman" w:hAnsi="Times New Roman" w:cs="Times New Roman"/>
          <w:b w:val="0"/>
          <w:color w:val="444444"/>
          <w:shd w:val="clear" w:color="auto" w:fill="FFFFFF"/>
        </w:rPr>
        <w:t>13</w:t>
      </w:r>
      <w:r w:rsidRPr="00347A7D">
        <w:rPr>
          <w:rStyle w:val="a7"/>
          <w:rFonts w:ascii="Times New Roman" w:hAnsi="Times New Roman" w:cs="Times New Roman"/>
          <w:b w:val="0"/>
          <w:color w:val="444444"/>
          <w:shd w:val="clear" w:color="auto" w:fill="FFFFFF"/>
          <w:vertAlign w:val="superscript"/>
        </w:rPr>
        <w:t>th</w:t>
      </w:r>
      <w:r w:rsidRPr="00347A7D">
        <w:rPr>
          <w:rStyle w:val="a7"/>
          <w:rFonts w:ascii="Times New Roman" w:hAnsi="Times New Roman" w:cs="Times New Roman"/>
          <w:b w:val="0"/>
          <w:color w:val="444444"/>
          <w:shd w:val="clear" w:color="auto" w:fill="FFFFFF"/>
        </w:rPr>
        <w:t> Edition</w:t>
      </w:r>
      <w:r w:rsidRPr="00347A7D">
        <w:rPr>
          <w:rFonts w:ascii="Times New Roman" w:hAnsi="Times New Roman" w:cs="Times New Roman"/>
          <w:color w:val="444444"/>
          <w:shd w:val="clear" w:color="auto" w:fill="FFFFFF"/>
        </w:rPr>
        <w:t> of the International Conference </w:t>
      </w:r>
      <w:r>
        <w:rPr>
          <w:rFonts w:ascii="Times New Roman" w:hAnsi="Times New Roman" w:cs="Times New Roman"/>
          <w:color w:val="444444"/>
          <w:shd w:val="clear" w:color="auto" w:fill="FFFFFF"/>
        </w:rPr>
        <w:t>“</w:t>
      </w:r>
      <w:r w:rsidRPr="00347A7D">
        <w:rPr>
          <w:rStyle w:val="a7"/>
          <w:rFonts w:ascii="Times New Roman" w:hAnsi="Times New Roman" w:cs="Times New Roman"/>
          <w:b w:val="0"/>
          <w:color w:val="444444"/>
          <w:shd w:val="clear" w:color="auto" w:fill="FFFFFF"/>
        </w:rPr>
        <w:t>New Perspectives in Science Education</w:t>
      </w:r>
      <w:r>
        <w:rPr>
          <w:rStyle w:val="a7"/>
          <w:rFonts w:ascii="Times New Roman" w:hAnsi="Times New Roman" w:cs="Times New Roman"/>
          <w:b w:val="0"/>
          <w:color w:val="444444"/>
          <w:shd w:val="clear" w:color="auto" w:fill="FFFFFF"/>
        </w:rPr>
        <w:t>”</w:t>
      </w:r>
      <w:r w:rsidRPr="00347A7D">
        <w:rPr>
          <w:rFonts w:ascii="Times New Roman" w:hAnsi="Times New Roman" w:cs="Times New Roman"/>
          <w:color w:val="444444"/>
          <w:shd w:val="clear" w:color="auto" w:fill="FFFFFF"/>
        </w:rPr>
        <w:t> on 14 - 15 March 202</w:t>
      </w:r>
      <w:r w:rsidR="00F308A8">
        <w:rPr>
          <w:rFonts w:ascii="Times New Roman" w:hAnsi="Times New Roman" w:cs="Times New Roman"/>
          <w:color w:val="444444"/>
          <w:shd w:val="clear" w:color="auto" w:fill="FFFFFF"/>
        </w:rPr>
        <w:t>4</w:t>
      </w:r>
      <w:r w:rsidRPr="00347A7D">
        <w:rPr>
          <w:rFonts w:ascii="Times New Roman" w:hAnsi="Times New Roman" w:cs="Times New Roman"/>
          <w:color w:val="444444"/>
          <w:shd w:val="clear" w:color="auto" w:fill="FFFFFF"/>
        </w:rPr>
        <w:t>, at Florence, Italy.</w:t>
      </w:r>
    </w:p>
    <w:p w:rsidR="00A95ECD" w:rsidRDefault="00A95ECD" w:rsidP="00A95ECD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A95ECD" w:rsidRPr="00630BAD" w:rsidRDefault="00A95ECD" w:rsidP="00A95EC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30BAD">
        <w:rPr>
          <w:rFonts w:ascii="Times New Roman" w:hAnsi="Times New Roman" w:cs="Times New Roman" w:hint="eastAsia"/>
          <w:b/>
          <w:bCs/>
          <w:color w:val="000000" w:themeColor="text1"/>
        </w:rPr>
        <w:t>Reference</w:t>
      </w:r>
    </w:p>
    <w:p w:rsidR="00A95ECD" w:rsidRPr="00A95ECD" w:rsidRDefault="00A95ECD" w:rsidP="00A95ECD">
      <w:pPr>
        <w:ind w:left="354" w:hangingChars="177" w:hanging="35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Alexander, E. A., Phillips, W., &amp; Kapletia, D. (2018). Shifting logics: limitations on the journey from ‘state’to ‘market’logic in UK higher education. </w:t>
      </w:r>
      <w:r w:rsidRPr="00A95E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Policy &amp; Politics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, </w:t>
      </w:r>
      <w:r w:rsidRPr="00A95E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46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(4), 551-569. https://doi.org/10.1332/030557317X15052077338233</w:t>
      </w:r>
    </w:p>
    <w:p w:rsidR="00A95ECD" w:rsidRPr="00A95ECD" w:rsidRDefault="00A95ECD" w:rsidP="00A95ECD">
      <w:pPr>
        <w:ind w:left="400" w:hangingChars="200" w:hanging="4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Croucher, G., &amp; Lacy, W. B. (2020). The emergence of academic capitalism and university neoliberalism: perspectives of Australian higher education leadership. </w:t>
      </w:r>
      <w:r w:rsidRPr="00A95E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Higher Education, 83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, 279-295. https://doi.org/10.1007/s10734-020-00655-7</w:t>
      </w:r>
    </w:p>
    <w:p w:rsidR="00A95ECD" w:rsidRPr="00A95ECD" w:rsidRDefault="00A95ECD" w:rsidP="00A95ECD">
      <w:pPr>
        <w:ind w:left="400" w:hangingChars="200" w:hanging="4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D’este, P., &amp; Perkmann, M. (2011). Why do academics engage with industry? The entrepreneurial university and individual motivations. </w:t>
      </w:r>
      <w:r w:rsidRPr="00A95E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The Journal of Technology Transfer, 36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(3), 316-339. https://doi.org/10.1007/s10961-010-9153-z </w:t>
      </w:r>
    </w:p>
    <w:p w:rsidR="00A95ECD" w:rsidRPr="00A95ECD" w:rsidRDefault="00A95ECD" w:rsidP="00A95ECD">
      <w:pPr>
        <w:ind w:left="400" w:hangingChars="200" w:hanging="400"/>
        <w:rPr>
          <w:rFonts w:ascii="Times New Roman" w:eastAsia="新細明體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95ECD">
        <w:rPr>
          <w:rFonts w:ascii="Times New Roman" w:eastAsia="新細明體" w:hAnsi="Times New Roman" w:cs="Times New Roman"/>
          <w:color w:val="000000" w:themeColor="text1"/>
          <w:sz w:val="20"/>
          <w:szCs w:val="20"/>
          <w:shd w:val="clear" w:color="auto" w:fill="FFFFFF"/>
          <w:lang w:eastAsia="zh-TW"/>
        </w:rPr>
        <w:t xml:space="preserve">Hoffman, S. G. (2011). The new tools of the science trade: contested knowledge production and the conceptual vocabularies of academic capitalism. </w:t>
      </w:r>
      <w:r w:rsidRPr="00A95ECD">
        <w:rPr>
          <w:rFonts w:ascii="Times New Roman" w:eastAsia="新細明體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eastAsia="zh-TW"/>
        </w:rPr>
        <w:t>Social Anthropology,</w:t>
      </w:r>
      <w:r w:rsidRPr="00A95ECD">
        <w:rPr>
          <w:rFonts w:ascii="Times New Roman" w:eastAsia="新細明體" w:hAnsi="Times New Roman" w:cs="Times New Roman"/>
          <w:color w:val="000000" w:themeColor="text1"/>
          <w:sz w:val="20"/>
          <w:szCs w:val="20"/>
          <w:shd w:val="clear" w:color="auto" w:fill="FFFFFF"/>
          <w:lang w:eastAsia="zh-TW"/>
        </w:rPr>
        <w:t xml:space="preserve"> </w:t>
      </w:r>
      <w:r w:rsidRPr="00A95ECD">
        <w:rPr>
          <w:rFonts w:ascii="Times New Roman" w:eastAsia="新細明體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eastAsia="zh-TW"/>
        </w:rPr>
        <w:t>19</w:t>
      </w:r>
      <w:r w:rsidRPr="00A95ECD">
        <w:rPr>
          <w:rFonts w:ascii="Times New Roman" w:eastAsia="新細明體" w:hAnsi="Times New Roman" w:cs="Times New Roman"/>
          <w:color w:val="000000" w:themeColor="text1"/>
          <w:sz w:val="20"/>
          <w:szCs w:val="20"/>
          <w:shd w:val="clear" w:color="auto" w:fill="FFFFFF"/>
          <w:lang w:eastAsia="zh-TW"/>
        </w:rPr>
        <w:t>(4), 439-462. https://doi.org/10.1111/j.1469-8676.2011.00180.x</w:t>
      </w:r>
    </w:p>
    <w:p w:rsidR="00A95ECD" w:rsidRPr="00A95ECD" w:rsidRDefault="00A95ECD" w:rsidP="00A95ECD">
      <w:pPr>
        <w:ind w:left="400" w:hangingChars="200" w:hanging="400"/>
        <w:rPr>
          <w:rFonts w:ascii="Times New Roman" w:eastAsia="新細明體" w:hAnsi="Times New Roman" w:cs="Times New Roman"/>
          <w:color w:val="000000" w:themeColor="text1"/>
          <w:sz w:val="20"/>
          <w:szCs w:val="20"/>
          <w:shd w:val="clear" w:color="auto" w:fill="FFFFFF"/>
          <w:lang w:eastAsia="zh-TW"/>
        </w:rPr>
      </w:pPr>
      <w:r w:rsidRPr="00A95ECD">
        <w:rPr>
          <w:rFonts w:ascii="Times New Roman" w:eastAsia="新細明體" w:hAnsi="Times New Roman" w:cs="Times New Roman"/>
          <w:color w:val="000000" w:themeColor="text1"/>
          <w:sz w:val="20"/>
          <w:szCs w:val="20"/>
          <w:shd w:val="clear" w:color="auto" w:fill="FFFFFF"/>
          <w:lang w:eastAsia="zh-TW"/>
        </w:rPr>
        <w:lastRenderedPageBreak/>
        <w:t xml:space="preserve">Hoffman, S. G. (2016). Managing Ambiguities at the Edge of Knowledge. </w:t>
      </w:r>
      <w:r w:rsidRPr="00A95ECD">
        <w:rPr>
          <w:rFonts w:ascii="Times New Roman" w:eastAsia="新細明體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eastAsia="zh-TW"/>
        </w:rPr>
        <w:t>Science, Technology, &amp; Human Values, 42(</w:t>
      </w:r>
      <w:r w:rsidRPr="00A95ECD">
        <w:rPr>
          <w:rFonts w:ascii="Times New Roman" w:eastAsia="新細明體" w:hAnsi="Times New Roman" w:cs="Times New Roman"/>
          <w:color w:val="000000" w:themeColor="text1"/>
          <w:sz w:val="20"/>
          <w:szCs w:val="20"/>
          <w:shd w:val="clear" w:color="auto" w:fill="FFFFFF"/>
          <w:lang w:eastAsia="zh-TW"/>
        </w:rPr>
        <w:t>4), 703-740. https://doi.org/10.1177/0162243916687038</w:t>
      </w:r>
    </w:p>
    <w:p w:rsidR="00A95ECD" w:rsidRPr="00A95ECD" w:rsidRDefault="00A95ECD" w:rsidP="00A95ECD">
      <w:pPr>
        <w:ind w:left="354" w:hangingChars="177" w:hanging="354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95EC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Johnson, A. T., &amp; Hirt, J. B. (2011). Reshaping academic capitalism to meet development priorities: The case of public universities in Kenya. </w:t>
      </w:r>
      <w:r w:rsidRPr="00A95ECD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Higher education</w:t>
      </w:r>
      <w:r w:rsidRPr="00A95EC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A95ECD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61</w:t>
      </w:r>
      <w:r w:rsidRPr="00A95EC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483-499. https://doi.org/10.1007/s10734-010-9342-6</w:t>
      </w:r>
    </w:p>
    <w:p w:rsidR="00A95ECD" w:rsidRPr="00A95ECD" w:rsidRDefault="00A95ECD" w:rsidP="00A95ECD">
      <w:pPr>
        <w:ind w:left="400" w:hangingChars="200" w:hanging="4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EC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McClure, K. R. (2016). Building the innovative and entrepreneurial university: An institutional case study of administrative academic capitalism. </w:t>
      </w:r>
      <w:r w:rsidRPr="00A95EC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The Journal of Higher Education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 </w:t>
      </w:r>
      <w:r w:rsidRPr="00A95EC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87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(4), 516-543. https://doi.org/10.1080/00221546.2016.11777412</w:t>
      </w:r>
    </w:p>
    <w:p w:rsidR="00A95ECD" w:rsidRPr="00A95ECD" w:rsidRDefault="00A95ECD" w:rsidP="00A95ECD">
      <w:pPr>
        <w:ind w:left="354" w:hangingChars="177" w:hanging="35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Mendoza, P., &amp; Öcal, S. (2022) Faculty engagement in university-industry linkages in Turkey and the United States: national technocenters versus ecosystems of knowledge, </w:t>
      </w:r>
      <w:r w:rsidRPr="00A95EC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Higher Education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, 84, 1-18. https://doi.org/10.1007/s10734-021-00796-3.</w:t>
      </w:r>
    </w:p>
    <w:p w:rsidR="00A95ECD" w:rsidRPr="00A95ECD" w:rsidRDefault="00A95ECD" w:rsidP="00A95ECD">
      <w:pPr>
        <w:ind w:left="400" w:hangingChars="200" w:hanging="400"/>
        <w:rPr>
          <w:rFonts w:ascii="Times New Roman" w:eastAsia="DengXi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95ECD">
        <w:rPr>
          <w:rFonts w:ascii="Times New Roman" w:eastAsia="DengXi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Slaughter, S. A., &amp; Leslie, L. L. (1997). </w:t>
      </w:r>
      <w:r w:rsidRPr="00A95ECD">
        <w:rPr>
          <w:rFonts w:ascii="Times New Roman" w:eastAsia="DengXi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Academic capitalism: Politics, policies, and the entrepreneurial university</w:t>
      </w:r>
      <w:r w:rsidRPr="00A95ECD">
        <w:rPr>
          <w:rFonts w:ascii="Times New Roman" w:eastAsia="DengXian" w:hAnsi="Times New Roman" w:cs="Times New Roman"/>
          <w:color w:val="000000" w:themeColor="text1"/>
          <w:sz w:val="20"/>
          <w:szCs w:val="20"/>
          <w:shd w:val="clear" w:color="auto" w:fill="FFFFFF"/>
        </w:rPr>
        <w:t>. Baltimore, US: The Johns Hopkins University Press.</w:t>
      </w:r>
    </w:p>
    <w:p w:rsidR="00A95ECD" w:rsidRPr="00A95ECD" w:rsidRDefault="00A95ECD" w:rsidP="00A95ECD">
      <w:pPr>
        <w:ind w:left="400" w:hangingChars="200" w:hanging="400"/>
        <w:rPr>
          <w:rFonts w:ascii="Times New Roman" w:eastAsia="DengXi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95ECD">
        <w:rPr>
          <w:rFonts w:ascii="Times New Roman" w:eastAsia="DengXi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Slaughter, S. A., &amp; Rhoades, G. (2004). </w:t>
      </w:r>
      <w:r w:rsidRPr="00A95ECD">
        <w:rPr>
          <w:rFonts w:ascii="Times New Roman" w:eastAsia="DengXi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Academic capitalism and the new economy: Markets, state, and higher education</w:t>
      </w:r>
      <w:r w:rsidRPr="00A95ECD">
        <w:rPr>
          <w:rFonts w:ascii="Times New Roman" w:eastAsia="DengXian" w:hAnsi="Times New Roman" w:cs="Times New Roman"/>
          <w:color w:val="000000" w:themeColor="text1"/>
          <w:sz w:val="20"/>
          <w:szCs w:val="20"/>
          <w:shd w:val="clear" w:color="auto" w:fill="FFFFFF"/>
        </w:rPr>
        <w:t>. Baltimore, US: The Johns Hopkins University Press.</w:t>
      </w:r>
    </w:p>
    <w:p w:rsidR="00A95ECD" w:rsidRPr="00A95ECD" w:rsidRDefault="00A95ECD" w:rsidP="00A95ECD">
      <w:pPr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Stensaker, B., &amp; Benner, M. (2013). Doomed to be entrepreneurial: institutional transformation or institutional lock-Ins of ‘new’ universities?</w:t>
      </w:r>
      <w:r w:rsidRPr="00A95E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Minerva, 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51, 399-416. https://doi.org/10.1007/s11024-013-9238-6</w:t>
      </w:r>
    </w:p>
    <w:p w:rsidR="00A95ECD" w:rsidRPr="00A95ECD" w:rsidRDefault="00A95ECD" w:rsidP="00A95ECD">
      <w:pPr>
        <w:ind w:left="400" w:hangingChars="200" w:hanging="40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95EC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Szelényi, K., &amp; Bresonis, K. (2014). The public good and academic capitalism: Science and engineering doctoral students and faculty on the boundary of knowledge regimes. </w:t>
      </w:r>
      <w:r w:rsidRPr="00A95ECD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The Journal of Higher Education,</w:t>
      </w:r>
      <w:r w:rsidRPr="00A95ECD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95ECD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85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(1), 126-153. https://doi.org/10.1080/00221546.2014.11777321</w:t>
      </w:r>
    </w:p>
    <w:p w:rsidR="00A95ECD" w:rsidRPr="00A95ECD" w:rsidRDefault="00A95ECD" w:rsidP="00A95ECD">
      <w:pPr>
        <w:ind w:left="354" w:hangingChars="177" w:hanging="35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Tapp, A. (2004). The changing face of marketing academia: what can we learn from commercial market research and practitioners?. </w:t>
      </w:r>
      <w:r w:rsidRPr="00A95E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European Journal of Marketing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, </w:t>
      </w:r>
      <w:r w:rsidRPr="00A95E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38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>(5/6), 492-499. https://doi.org/10.1108/03090560410529178</w:t>
      </w:r>
    </w:p>
    <w:p w:rsidR="00A95ECD" w:rsidRPr="00A95ECD" w:rsidRDefault="00A95ECD" w:rsidP="00A95ECD">
      <w:pPr>
        <w:ind w:left="354" w:hangingChars="177" w:hanging="35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Yang, P.Y., &amp; Chang, Y. (2010). Academic Research Commercialization and Knowledge Production and Diffusion: The Moderating Effects of Entrepreneurial Commitment. </w:t>
      </w:r>
      <w:r w:rsidRPr="00A95EC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Scientometrics, 83</w:t>
      </w:r>
      <w:r w:rsidRPr="00A95E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403-421. https://doi.org/10.1007/s11192-009-0075-1 </w:t>
      </w:r>
    </w:p>
    <w:sectPr w:rsidR="00A95ECD" w:rsidRPr="00A95ECD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20" w:rsidRDefault="00712920" w:rsidP="008B0248">
      <w:r>
        <w:separator/>
      </w:r>
    </w:p>
  </w:endnote>
  <w:endnote w:type="continuationSeparator" w:id="0">
    <w:p w:rsidR="00712920" w:rsidRDefault="00712920" w:rsidP="008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20" w:rsidRDefault="00712920" w:rsidP="008B0248">
      <w:r>
        <w:separator/>
      </w:r>
    </w:p>
  </w:footnote>
  <w:footnote w:type="continuationSeparator" w:id="0">
    <w:p w:rsidR="00712920" w:rsidRDefault="00712920" w:rsidP="008B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7D"/>
    <w:rsid w:val="00186052"/>
    <w:rsid w:val="00250F69"/>
    <w:rsid w:val="00347A7D"/>
    <w:rsid w:val="00606689"/>
    <w:rsid w:val="00712920"/>
    <w:rsid w:val="008A3073"/>
    <w:rsid w:val="008B0248"/>
    <w:rsid w:val="00A95ECD"/>
    <w:rsid w:val="00DF4E0D"/>
    <w:rsid w:val="00E55B3C"/>
    <w:rsid w:val="00F3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7AADA"/>
  <w15:chartTrackingRefBased/>
  <w15:docId w15:val="{0AAD092A-0D18-45C8-9867-92AD81CF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7D"/>
    <w:rPr>
      <w:rFonts w:ascii="SimSun" w:eastAsia="SimSun" w:hAnsi="SimSun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24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2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24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248"/>
    <w:rPr>
      <w:sz w:val="20"/>
      <w:szCs w:val="20"/>
    </w:rPr>
  </w:style>
  <w:style w:type="character" w:styleId="a7">
    <w:name w:val="Strong"/>
    <w:basedOn w:val="a0"/>
    <w:uiPriority w:val="22"/>
    <w:qFormat/>
    <w:rsid w:val="00347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681</Words>
  <Characters>3888</Characters>
  <Application>Microsoft Office Word</Application>
  <DocSecurity>0</DocSecurity>
  <Lines>32</Lines>
  <Paragraphs>9</Paragraphs>
  <ScaleCrop>false</ScaleCrop>
  <Company>Faculty of Education, CUHK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Hong Lai (EAP)</dc:creator>
  <cp:keywords/>
  <dc:description/>
  <cp:lastModifiedBy>Man Hong Lai (EAP)</cp:lastModifiedBy>
  <cp:revision>4</cp:revision>
  <dcterms:created xsi:type="dcterms:W3CDTF">2023-09-20T07:03:00Z</dcterms:created>
  <dcterms:modified xsi:type="dcterms:W3CDTF">2023-09-22T06:22:00Z</dcterms:modified>
</cp:coreProperties>
</file>