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A2" w:rsidRDefault="00360344">
      <w:pPr>
        <w:pStyle w:val="Heading1"/>
        <w:spacing w:before="96" w:line="285" w:lineRule="auto"/>
        <w:ind w:left="308" w:right="240" w:firstLine="0"/>
        <w:jc w:val="center"/>
      </w:pPr>
      <w:r>
        <w:t>UNDERSTANDING THE INGREDIENTS OF SCHOLARSHIP OF TEACHING AND LEARNING</w:t>
      </w:r>
      <w:r>
        <w:rPr>
          <w:spacing w:val="4"/>
        </w:rPr>
        <w:t xml:space="preserve"> </w:t>
      </w:r>
      <w:r>
        <w:t>(SoTL)</w:t>
      </w:r>
    </w:p>
    <w:p w:rsidR="004026A2" w:rsidRDefault="004026A2">
      <w:pPr>
        <w:pStyle w:val="BodyText"/>
        <w:ind w:left="0"/>
        <w:rPr>
          <w:b/>
          <w:sz w:val="24"/>
        </w:rPr>
      </w:pPr>
    </w:p>
    <w:p w:rsidR="004026A2" w:rsidRDefault="004026A2">
      <w:pPr>
        <w:pStyle w:val="BodyText"/>
        <w:spacing w:before="8"/>
        <w:ind w:left="0"/>
        <w:rPr>
          <w:b/>
          <w:sz w:val="33"/>
        </w:rPr>
      </w:pPr>
    </w:p>
    <w:p w:rsidR="004026A2" w:rsidRDefault="007011FA">
      <w:pPr>
        <w:pStyle w:val="BodyText"/>
        <w:ind w:left="299" w:right="240"/>
        <w:jc w:val="center"/>
      </w:pPr>
      <w:r>
        <w:t xml:space="preserve">Prof </w:t>
      </w:r>
      <w:bookmarkStart w:id="0" w:name="_GoBack"/>
      <w:bookmarkEnd w:id="0"/>
      <w:r w:rsidR="00360344">
        <w:t>Newman</w:t>
      </w:r>
      <w:r w:rsidR="00360344">
        <w:rPr>
          <w:spacing w:val="39"/>
        </w:rPr>
        <w:t xml:space="preserve"> </w:t>
      </w:r>
      <w:r w:rsidR="00360344">
        <w:t>Wadesango</w:t>
      </w:r>
    </w:p>
    <w:p w:rsidR="004026A2" w:rsidRDefault="004026A2">
      <w:pPr>
        <w:pStyle w:val="BodyText"/>
        <w:spacing w:before="11"/>
        <w:ind w:left="0"/>
        <w:rPr>
          <w:sz w:val="19"/>
        </w:rPr>
      </w:pPr>
    </w:p>
    <w:p w:rsidR="004026A2" w:rsidRDefault="00360344">
      <w:pPr>
        <w:pStyle w:val="BodyText"/>
        <w:spacing w:line="247" w:lineRule="auto"/>
        <w:ind w:left="749" w:right="689"/>
        <w:jc w:val="center"/>
      </w:pPr>
      <w:r>
        <w:t xml:space="preserve">University of Limpopo, Centre for Academic Excellence, Republic of South Africa Email: </w:t>
      </w:r>
      <w:hyperlink r:id="rId7">
        <w:r>
          <w:t>newman.wadesango@ul.ac.za</w:t>
        </w:r>
      </w:hyperlink>
    </w:p>
    <w:p w:rsidR="004026A2" w:rsidRDefault="004026A2">
      <w:pPr>
        <w:pStyle w:val="BodyText"/>
        <w:ind w:left="0"/>
        <w:rPr>
          <w:sz w:val="24"/>
        </w:rPr>
      </w:pPr>
    </w:p>
    <w:p w:rsidR="004026A2" w:rsidRPr="002C726B" w:rsidRDefault="004026A2">
      <w:pPr>
        <w:pStyle w:val="BodyText"/>
        <w:spacing w:before="8"/>
        <w:ind w:left="0"/>
        <w:rPr>
          <w:sz w:val="21"/>
        </w:rPr>
      </w:pPr>
    </w:p>
    <w:p w:rsidR="004026A2" w:rsidRDefault="00360344">
      <w:pPr>
        <w:pStyle w:val="Heading1"/>
        <w:ind w:left="171" w:firstLine="0"/>
        <w:rPr>
          <w:b w:val="0"/>
        </w:rPr>
      </w:pPr>
      <w:r w:rsidRPr="002C726B">
        <w:rPr>
          <w:b w:val="0"/>
        </w:rPr>
        <w:t>ABSTRACT</w:t>
      </w:r>
    </w:p>
    <w:p w:rsidR="002C726B" w:rsidRDefault="002C726B">
      <w:pPr>
        <w:pStyle w:val="Heading1"/>
        <w:ind w:left="171" w:firstLine="0"/>
        <w:rPr>
          <w:b w:val="0"/>
        </w:rPr>
      </w:pPr>
    </w:p>
    <w:p w:rsidR="004026A2" w:rsidRDefault="002C726B" w:rsidP="002C726B">
      <w:pPr>
        <w:pStyle w:val="BodyText"/>
        <w:spacing w:before="180" w:line="283" w:lineRule="auto"/>
        <w:ind w:right="103"/>
        <w:jc w:val="both"/>
      </w:pPr>
      <w:r>
        <w:t xml:space="preserve">Teaching and learning in higher education are inextricably linked, so the </w:t>
      </w:r>
      <w:r>
        <w:t>scholarship of teaching</w:t>
      </w:r>
      <w:r>
        <w:t xml:space="preserve"> is as much about learning as it is about teaching (Schulman, 1999; Healey, 2000). Although the processes of teaching and learning are quite complicated, the aim of teaching, according to Ramsden (1992:5), is simple: it is to make </w:t>
      </w:r>
      <w:r>
        <w:t>student learning</w:t>
      </w:r>
      <w:r>
        <w:t xml:space="preserve"> possible. While </w:t>
      </w:r>
      <w:r>
        <w:t>the aim</w:t>
      </w:r>
      <w:r>
        <w:t xml:space="preserve"> of scholarly teaching is: to make transparent how </w:t>
      </w:r>
      <w:r>
        <w:t>we have made learning possible</w:t>
      </w:r>
      <w:r>
        <w:t xml:space="preserve"> (Martin, Prosser, Conrad, Trigwell, &amp; Benjamin, 1998). Teaching is used here, in its broadest sense, to include the aims of the curriculum, the methods of transmitting the knowledge those aims embody, the assessment of students, and the evaluation of the effectiveness of the instruction with which they are provided (Ramsden, 1992; Healey, 2000). Recent research shows that: just as students experience learning in different ways, </w:t>
      </w:r>
      <w:r>
        <w:t>university teachers</w:t>
      </w:r>
      <w:r>
        <w:t xml:space="preserve"> experience teaching in different ways. Their perceptions of </w:t>
      </w:r>
      <w:r>
        <w:t>their teaching</w:t>
      </w:r>
      <w:r>
        <w:t xml:space="preserve"> </w:t>
      </w:r>
      <w:r>
        <w:t>context, the way</w:t>
      </w:r>
      <w:r>
        <w:t xml:space="preserve"> they approach their teaching, and the outcomes of those approaches vary </w:t>
      </w:r>
      <w:r>
        <w:t>between individuals in</w:t>
      </w:r>
      <w:r>
        <w:t xml:space="preserve"> the same context, as well as between contexts (Prosser &amp; Trigwell, 1999:7).  </w:t>
      </w:r>
      <w:r>
        <w:t>Improvements in</w:t>
      </w:r>
      <w:r>
        <w:t xml:space="preserve"> learning and teaching depend upon the development of </w:t>
      </w:r>
      <w:r>
        <w:t>the scholarship of teaching (</w:t>
      </w:r>
      <w:r>
        <w:t>Menges, Weimer, &amp; Associates, 1996; Healey,</w:t>
      </w:r>
      <w:r>
        <w:rPr>
          <w:spacing w:val="10"/>
        </w:rPr>
        <w:t xml:space="preserve"> </w:t>
      </w:r>
      <w:r>
        <w:t>2000).</w:t>
      </w:r>
      <w:r>
        <w:t xml:space="preserve"> </w:t>
      </w:r>
      <w:r w:rsidR="00360344">
        <w:t xml:space="preserve">In this paper the researcher sought to examine the ingredients of scholarship of learning and teaching (SOLT). Scholarship of teaching and learning as a </w:t>
      </w:r>
      <w:r>
        <w:t>concept was</w:t>
      </w:r>
      <w:r w:rsidR="00360344">
        <w:t xml:space="preserve"> </w:t>
      </w:r>
      <w:r>
        <w:t>expounded in</w:t>
      </w:r>
      <w:r w:rsidR="00360344">
        <w:t xml:space="preserve"> </w:t>
      </w:r>
      <w:r>
        <w:t>detail as</w:t>
      </w:r>
      <w:r w:rsidR="00360344">
        <w:rPr>
          <w:rFonts w:ascii="Calibri"/>
          <w:sz w:val="20"/>
        </w:rPr>
        <w:t xml:space="preserve"> </w:t>
      </w:r>
      <w:r w:rsidR="00360344">
        <w:t>well as how it enhances tea</w:t>
      </w:r>
      <w:r w:rsidR="00360344">
        <w:t xml:space="preserve">ching and learning in higher education. The researcher further discussed the origin of SOLT and also went on to discuss its benefits </w:t>
      </w:r>
      <w:r>
        <w:t>and pitfalls</w:t>
      </w:r>
      <w:r w:rsidR="00360344">
        <w:t xml:space="preserve">.  </w:t>
      </w:r>
      <w:r>
        <w:t>In the paper</w:t>
      </w:r>
      <w:r w:rsidR="00360344">
        <w:t xml:space="preserve">, critical aspects of SoTL such as active learning, collaborative learning </w:t>
      </w:r>
      <w:r>
        <w:t>and problem</w:t>
      </w:r>
      <w:r w:rsidR="00360344">
        <w:t xml:space="preserve"> based</w:t>
      </w:r>
      <w:r w:rsidR="00360344">
        <w:rPr>
          <w:spacing w:val="5"/>
        </w:rPr>
        <w:t xml:space="preserve"> </w:t>
      </w:r>
      <w:r w:rsidR="00360344">
        <w:t>learning</w:t>
      </w:r>
      <w:r w:rsidR="00360344">
        <w:rPr>
          <w:spacing w:val="7"/>
        </w:rPr>
        <w:t xml:space="preserve"> </w:t>
      </w:r>
      <w:r w:rsidR="00360344">
        <w:t>were</w:t>
      </w:r>
      <w:r w:rsidR="00360344">
        <w:rPr>
          <w:spacing w:val="9"/>
        </w:rPr>
        <w:t xml:space="preserve"> </w:t>
      </w:r>
      <w:r w:rsidR="00360344">
        <w:t>interrogated</w:t>
      </w:r>
      <w:r w:rsidR="00360344">
        <w:rPr>
          <w:spacing w:val="12"/>
        </w:rPr>
        <w:t xml:space="preserve"> </w:t>
      </w:r>
      <w:r w:rsidR="00360344">
        <w:t>in</w:t>
      </w:r>
      <w:r w:rsidR="00360344">
        <w:rPr>
          <w:spacing w:val="5"/>
        </w:rPr>
        <w:t xml:space="preserve"> </w:t>
      </w:r>
      <w:r w:rsidR="00360344">
        <w:t>an</w:t>
      </w:r>
      <w:r w:rsidR="00360344">
        <w:rPr>
          <w:spacing w:val="6"/>
        </w:rPr>
        <w:t xml:space="preserve"> </w:t>
      </w:r>
      <w:r w:rsidR="00360344">
        <w:t>endeavour</w:t>
      </w:r>
      <w:r w:rsidR="00360344">
        <w:rPr>
          <w:spacing w:val="10"/>
        </w:rPr>
        <w:t xml:space="preserve"> </w:t>
      </w:r>
      <w:r w:rsidR="00360344">
        <w:t>to</w:t>
      </w:r>
      <w:r w:rsidR="00360344">
        <w:rPr>
          <w:spacing w:val="9"/>
        </w:rPr>
        <w:t xml:space="preserve"> </w:t>
      </w:r>
      <w:r w:rsidR="00360344">
        <w:t>determine</w:t>
      </w:r>
      <w:r w:rsidR="00360344">
        <w:rPr>
          <w:spacing w:val="9"/>
        </w:rPr>
        <w:t xml:space="preserve"> </w:t>
      </w:r>
      <w:r w:rsidR="00360344">
        <w:t>how</w:t>
      </w:r>
      <w:r w:rsidR="00360344">
        <w:rPr>
          <w:spacing w:val="8"/>
        </w:rPr>
        <w:t xml:space="preserve"> </w:t>
      </w:r>
      <w:r w:rsidR="00360344">
        <w:t>they</w:t>
      </w:r>
      <w:r w:rsidR="00360344">
        <w:rPr>
          <w:spacing w:val="7"/>
        </w:rPr>
        <w:t xml:space="preserve"> </w:t>
      </w:r>
      <w:r w:rsidR="00360344">
        <w:t>promote</w:t>
      </w:r>
      <w:r w:rsidR="00360344">
        <w:rPr>
          <w:spacing w:val="9"/>
        </w:rPr>
        <w:t xml:space="preserve"> </w:t>
      </w:r>
      <w:r w:rsidR="00360344">
        <w:t>SoTL.</w:t>
      </w:r>
    </w:p>
    <w:p w:rsidR="004026A2" w:rsidRDefault="004026A2">
      <w:pPr>
        <w:pStyle w:val="BodyText"/>
        <w:ind w:left="0"/>
        <w:rPr>
          <w:sz w:val="24"/>
        </w:rPr>
      </w:pPr>
    </w:p>
    <w:p w:rsidR="004026A2" w:rsidRDefault="004026A2">
      <w:pPr>
        <w:pStyle w:val="BodyText"/>
        <w:spacing w:before="6"/>
        <w:ind w:left="0"/>
        <w:rPr>
          <w:sz w:val="34"/>
        </w:rPr>
      </w:pPr>
    </w:p>
    <w:p w:rsidR="004026A2" w:rsidRDefault="00360344">
      <w:pPr>
        <w:pStyle w:val="BodyText"/>
        <w:spacing w:line="283" w:lineRule="auto"/>
        <w:ind w:right="115"/>
        <w:jc w:val="both"/>
      </w:pPr>
      <w:r>
        <w:rPr>
          <w:b/>
        </w:rPr>
        <w:t xml:space="preserve">Keywords: </w:t>
      </w:r>
      <w:r>
        <w:t>SoTL, active learning, problem based learning, collaborative learning, higher education</w:t>
      </w:r>
    </w:p>
    <w:p w:rsidR="004026A2" w:rsidRDefault="004026A2">
      <w:pPr>
        <w:spacing w:line="283" w:lineRule="auto"/>
        <w:jc w:val="both"/>
      </w:pPr>
    </w:p>
    <w:p w:rsidR="004026A2" w:rsidRDefault="00360344" w:rsidP="002C726B">
      <w:pPr>
        <w:pStyle w:val="BodyText"/>
        <w:spacing w:before="2"/>
        <w:ind w:left="0"/>
      </w:pPr>
      <w:r>
        <w:pict>
          <v:line id="_x0000_s1040" style="position:absolute;z-index:251659264;mso-position-horizontal-relative:page;mso-position-vertical-relative:page" from="72.3pt,68.05pt" to="524.4pt,68.05pt" strokeweight=".57pt">
            <w10:wrap anchorx="page" anchory="page"/>
          </v:line>
        </w:pict>
      </w:r>
    </w:p>
    <w:sectPr w:rsidR="004026A2">
      <w:headerReference w:type="default" r:id="rId8"/>
      <w:footerReference w:type="default" r:id="rId9"/>
      <w:pgSz w:w="11910" w:h="16840"/>
      <w:pgMar w:top="1340" w:right="1420" w:bottom="1340" w:left="1680" w:header="254" w:footer="11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344" w:rsidRDefault="00360344">
      <w:r>
        <w:separator/>
      </w:r>
    </w:p>
  </w:endnote>
  <w:endnote w:type="continuationSeparator" w:id="0">
    <w:p w:rsidR="00360344" w:rsidRDefault="0036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A2" w:rsidRDefault="00360344">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69.15pt;margin-top:773.7pt;width:19.35pt;height:10.95pt;z-index:-252039168;mso-position-horizontal-relative:page;mso-position-vertical-relative:page" filled="f" stroked="f">
          <v:textbox inset="0,0,0,0">
            <w:txbxContent>
              <w:p w:rsidR="004026A2" w:rsidRDefault="00360344">
                <w:pPr>
                  <w:spacing w:before="14"/>
                  <w:ind w:left="60"/>
                  <w:rPr>
                    <w:rFonts w:ascii="Arial"/>
                    <w:i/>
                    <w:sz w:val="16"/>
                  </w:rPr>
                </w:pPr>
                <w:r>
                  <w:fldChar w:fldCharType="begin"/>
                </w:r>
                <w:r>
                  <w:rPr>
                    <w:rFonts w:ascii="Arial"/>
                    <w:i/>
                    <w:sz w:val="16"/>
                  </w:rPr>
                  <w:instrText xml:space="preserve"> PAGE </w:instrText>
                </w:r>
                <w:r>
                  <w:fldChar w:fldCharType="separate"/>
                </w:r>
                <w:r w:rsidR="007011FA">
                  <w:rPr>
                    <w:rFonts w:ascii="Arial"/>
                    <w:i/>
                    <w:noProof/>
                    <w:sz w:val="16"/>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344" w:rsidRDefault="00360344">
      <w:r>
        <w:separator/>
      </w:r>
    </w:p>
  </w:footnote>
  <w:footnote w:type="continuationSeparator" w:id="0">
    <w:p w:rsidR="00360344" w:rsidRDefault="00360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A2" w:rsidRDefault="00360344">
    <w:pPr>
      <w:pStyle w:val="BodyText"/>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72.7pt;margin-top:31pt;width:124pt;height:22.3pt;z-index:-252041216;mso-position-horizontal-relative:page;mso-position-vertical-relative:page" filled="f" stroked="f">
          <v:textbox inset="0,0,0,0">
            <w:txbxContent>
              <w:p w:rsidR="004026A2" w:rsidRDefault="004026A2">
                <w:pPr>
                  <w:spacing w:before="43"/>
                  <w:ind w:left="48"/>
                  <w:rPr>
                    <w:rFonts w:ascii="Arial"/>
                    <w:sz w:val="16"/>
                  </w:rPr>
                </w:pPr>
              </w:p>
            </w:txbxContent>
          </v:textbox>
          <w10:wrap anchorx="page" anchory="page"/>
        </v:shape>
      </w:pict>
    </w:r>
    <w:r>
      <w:pict>
        <v:shape id="_x0000_s2050" type="#_x0000_t202" style="position:absolute;margin-left:352.5pt;margin-top:42.35pt;width:170.15pt;height:10.95pt;z-index:-252040192;mso-position-horizontal-relative:page;mso-position-vertical-relative:page" filled="f" stroked="f">
          <v:textbox inset="0,0,0,0">
            <w:txbxContent>
              <w:p w:rsidR="004026A2" w:rsidRDefault="004026A2">
                <w:pPr>
                  <w:spacing w:before="14"/>
                  <w:ind w:left="20"/>
                  <w:rPr>
                    <w:rFonts w:ascii="Arial"/>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FFD"/>
    <w:multiLevelType w:val="hybridMultilevel"/>
    <w:tmpl w:val="F55EDC5C"/>
    <w:lvl w:ilvl="0" w:tplc="69DA2BD2">
      <w:numFmt w:val="bullet"/>
      <w:lvlText w:val=""/>
      <w:lvlJc w:val="left"/>
      <w:pPr>
        <w:ind w:left="848" w:hanging="339"/>
      </w:pPr>
      <w:rPr>
        <w:rFonts w:ascii="Symbol" w:eastAsia="Symbol" w:hAnsi="Symbol" w:cs="Symbol" w:hint="default"/>
        <w:w w:val="102"/>
        <w:sz w:val="22"/>
        <w:szCs w:val="22"/>
      </w:rPr>
    </w:lvl>
    <w:lvl w:ilvl="1" w:tplc="6DF86678">
      <w:numFmt w:val="bullet"/>
      <w:lvlText w:val="•"/>
      <w:lvlJc w:val="left"/>
      <w:pPr>
        <w:ind w:left="1636" w:hanging="339"/>
      </w:pPr>
      <w:rPr>
        <w:rFonts w:hint="default"/>
      </w:rPr>
    </w:lvl>
    <w:lvl w:ilvl="2" w:tplc="83247352">
      <w:numFmt w:val="bullet"/>
      <w:lvlText w:val="•"/>
      <w:lvlJc w:val="left"/>
      <w:pPr>
        <w:ind w:left="2433" w:hanging="339"/>
      </w:pPr>
      <w:rPr>
        <w:rFonts w:hint="default"/>
      </w:rPr>
    </w:lvl>
    <w:lvl w:ilvl="3" w:tplc="6D9EE756">
      <w:numFmt w:val="bullet"/>
      <w:lvlText w:val="•"/>
      <w:lvlJc w:val="left"/>
      <w:pPr>
        <w:ind w:left="3229" w:hanging="339"/>
      </w:pPr>
      <w:rPr>
        <w:rFonts w:hint="default"/>
      </w:rPr>
    </w:lvl>
    <w:lvl w:ilvl="4" w:tplc="56DEE0AC">
      <w:numFmt w:val="bullet"/>
      <w:lvlText w:val="•"/>
      <w:lvlJc w:val="left"/>
      <w:pPr>
        <w:ind w:left="4026" w:hanging="339"/>
      </w:pPr>
      <w:rPr>
        <w:rFonts w:hint="default"/>
      </w:rPr>
    </w:lvl>
    <w:lvl w:ilvl="5" w:tplc="C8141F3E">
      <w:numFmt w:val="bullet"/>
      <w:lvlText w:val="•"/>
      <w:lvlJc w:val="left"/>
      <w:pPr>
        <w:ind w:left="4822" w:hanging="339"/>
      </w:pPr>
      <w:rPr>
        <w:rFonts w:hint="default"/>
      </w:rPr>
    </w:lvl>
    <w:lvl w:ilvl="6" w:tplc="D9A2C6F4">
      <w:numFmt w:val="bullet"/>
      <w:lvlText w:val="•"/>
      <w:lvlJc w:val="left"/>
      <w:pPr>
        <w:ind w:left="5619" w:hanging="339"/>
      </w:pPr>
      <w:rPr>
        <w:rFonts w:hint="default"/>
      </w:rPr>
    </w:lvl>
    <w:lvl w:ilvl="7" w:tplc="260E34D6">
      <w:numFmt w:val="bullet"/>
      <w:lvlText w:val="•"/>
      <w:lvlJc w:val="left"/>
      <w:pPr>
        <w:ind w:left="6415" w:hanging="339"/>
      </w:pPr>
      <w:rPr>
        <w:rFonts w:hint="default"/>
      </w:rPr>
    </w:lvl>
    <w:lvl w:ilvl="8" w:tplc="51CC8578">
      <w:numFmt w:val="bullet"/>
      <w:lvlText w:val="•"/>
      <w:lvlJc w:val="left"/>
      <w:pPr>
        <w:ind w:left="7212" w:hanging="339"/>
      </w:pPr>
      <w:rPr>
        <w:rFonts w:hint="default"/>
      </w:rPr>
    </w:lvl>
  </w:abstractNum>
  <w:abstractNum w:abstractNumId="1" w15:restartNumberingAfterBreak="0">
    <w:nsid w:val="404C6108"/>
    <w:multiLevelType w:val="hybridMultilevel"/>
    <w:tmpl w:val="75CEC98E"/>
    <w:lvl w:ilvl="0" w:tplc="F2B23B64">
      <w:start w:val="6"/>
      <w:numFmt w:val="decimal"/>
      <w:lvlText w:val="%1."/>
      <w:lvlJc w:val="left"/>
      <w:pPr>
        <w:ind w:left="399" w:hanging="228"/>
        <w:jc w:val="left"/>
      </w:pPr>
      <w:rPr>
        <w:rFonts w:ascii="Times New Roman" w:eastAsia="Times New Roman" w:hAnsi="Times New Roman" w:cs="Times New Roman" w:hint="default"/>
        <w:b/>
        <w:bCs/>
        <w:w w:val="102"/>
        <w:sz w:val="22"/>
        <w:szCs w:val="22"/>
      </w:rPr>
    </w:lvl>
    <w:lvl w:ilvl="1" w:tplc="F9FCD0A2">
      <w:numFmt w:val="bullet"/>
      <w:lvlText w:val="•"/>
      <w:lvlJc w:val="left"/>
      <w:pPr>
        <w:ind w:left="1240" w:hanging="228"/>
      </w:pPr>
      <w:rPr>
        <w:rFonts w:hint="default"/>
      </w:rPr>
    </w:lvl>
    <w:lvl w:ilvl="2" w:tplc="8026D826">
      <w:numFmt w:val="bullet"/>
      <w:lvlText w:val="•"/>
      <w:lvlJc w:val="left"/>
      <w:pPr>
        <w:ind w:left="2081" w:hanging="228"/>
      </w:pPr>
      <w:rPr>
        <w:rFonts w:hint="default"/>
      </w:rPr>
    </w:lvl>
    <w:lvl w:ilvl="3" w:tplc="C2A02838">
      <w:numFmt w:val="bullet"/>
      <w:lvlText w:val="•"/>
      <w:lvlJc w:val="left"/>
      <w:pPr>
        <w:ind w:left="2921" w:hanging="228"/>
      </w:pPr>
      <w:rPr>
        <w:rFonts w:hint="default"/>
      </w:rPr>
    </w:lvl>
    <w:lvl w:ilvl="4" w:tplc="63CE6D10">
      <w:numFmt w:val="bullet"/>
      <w:lvlText w:val="•"/>
      <w:lvlJc w:val="left"/>
      <w:pPr>
        <w:ind w:left="3762" w:hanging="228"/>
      </w:pPr>
      <w:rPr>
        <w:rFonts w:hint="default"/>
      </w:rPr>
    </w:lvl>
    <w:lvl w:ilvl="5" w:tplc="64F2178E">
      <w:numFmt w:val="bullet"/>
      <w:lvlText w:val="•"/>
      <w:lvlJc w:val="left"/>
      <w:pPr>
        <w:ind w:left="4602" w:hanging="228"/>
      </w:pPr>
      <w:rPr>
        <w:rFonts w:hint="default"/>
      </w:rPr>
    </w:lvl>
    <w:lvl w:ilvl="6" w:tplc="E54AE096">
      <w:numFmt w:val="bullet"/>
      <w:lvlText w:val="•"/>
      <w:lvlJc w:val="left"/>
      <w:pPr>
        <w:ind w:left="5443" w:hanging="228"/>
      </w:pPr>
      <w:rPr>
        <w:rFonts w:hint="default"/>
      </w:rPr>
    </w:lvl>
    <w:lvl w:ilvl="7" w:tplc="9604B330">
      <w:numFmt w:val="bullet"/>
      <w:lvlText w:val="•"/>
      <w:lvlJc w:val="left"/>
      <w:pPr>
        <w:ind w:left="6283" w:hanging="228"/>
      </w:pPr>
      <w:rPr>
        <w:rFonts w:hint="default"/>
      </w:rPr>
    </w:lvl>
    <w:lvl w:ilvl="8" w:tplc="AA4825AA">
      <w:numFmt w:val="bullet"/>
      <w:lvlText w:val="•"/>
      <w:lvlJc w:val="left"/>
      <w:pPr>
        <w:ind w:left="7124" w:hanging="228"/>
      </w:pPr>
      <w:rPr>
        <w:rFonts w:hint="default"/>
      </w:rPr>
    </w:lvl>
  </w:abstractNum>
  <w:abstractNum w:abstractNumId="2" w15:restartNumberingAfterBreak="0">
    <w:nsid w:val="63A21766"/>
    <w:multiLevelType w:val="hybridMultilevel"/>
    <w:tmpl w:val="930A5210"/>
    <w:lvl w:ilvl="0" w:tplc="C876ED00">
      <w:start w:val="1"/>
      <w:numFmt w:val="decimal"/>
      <w:lvlText w:val="%1)"/>
      <w:lvlJc w:val="left"/>
      <w:pPr>
        <w:ind w:left="417" w:hanging="246"/>
        <w:jc w:val="left"/>
      </w:pPr>
      <w:rPr>
        <w:rFonts w:ascii="Times New Roman" w:eastAsia="Times New Roman" w:hAnsi="Times New Roman" w:cs="Times New Roman" w:hint="default"/>
        <w:b/>
        <w:bCs/>
        <w:w w:val="102"/>
        <w:sz w:val="22"/>
        <w:szCs w:val="22"/>
      </w:rPr>
    </w:lvl>
    <w:lvl w:ilvl="1" w:tplc="DEC02408">
      <w:numFmt w:val="bullet"/>
      <w:lvlText w:val=""/>
      <w:lvlJc w:val="left"/>
      <w:pPr>
        <w:ind w:left="848" w:hanging="339"/>
      </w:pPr>
      <w:rPr>
        <w:rFonts w:ascii="Symbol" w:eastAsia="Symbol" w:hAnsi="Symbol" w:cs="Symbol" w:hint="default"/>
        <w:w w:val="102"/>
        <w:sz w:val="22"/>
        <w:szCs w:val="22"/>
      </w:rPr>
    </w:lvl>
    <w:lvl w:ilvl="2" w:tplc="B170A5D4">
      <w:numFmt w:val="bullet"/>
      <w:lvlText w:val="•"/>
      <w:lvlJc w:val="left"/>
      <w:pPr>
        <w:ind w:left="1725" w:hanging="339"/>
      </w:pPr>
      <w:rPr>
        <w:rFonts w:hint="default"/>
      </w:rPr>
    </w:lvl>
    <w:lvl w:ilvl="3" w:tplc="33ACD2C2">
      <w:numFmt w:val="bullet"/>
      <w:lvlText w:val="•"/>
      <w:lvlJc w:val="left"/>
      <w:pPr>
        <w:ind w:left="2610" w:hanging="339"/>
      </w:pPr>
      <w:rPr>
        <w:rFonts w:hint="default"/>
      </w:rPr>
    </w:lvl>
    <w:lvl w:ilvl="4" w:tplc="14485DD8">
      <w:numFmt w:val="bullet"/>
      <w:lvlText w:val="•"/>
      <w:lvlJc w:val="left"/>
      <w:pPr>
        <w:ind w:left="3495" w:hanging="339"/>
      </w:pPr>
      <w:rPr>
        <w:rFonts w:hint="default"/>
      </w:rPr>
    </w:lvl>
    <w:lvl w:ilvl="5" w:tplc="AF1E82F8">
      <w:numFmt w:val="bullet"/>
      <w:lvlText w:val="•"/>
      <w:lvlJc w:val="left"/>
      <w:pPr>
        <w:ind w:left="4380" w:hanging="339"/>
      </w:pPr>
      <w:rPr>
        <w:rFonts w:hint="default"/>
      </w:rPr>
    </w:lvl>
    <w:lvl w:ilvl="6" w:tplc="EE5CD7DA">
      <w:numFmt w:val="bullet"/>
      <w:lvlText w:val="•"/>
      <w:lvlJc w:val="left"/>
      <w:pPr>
        <w:ind w:left="5265" w:hanging="339"/>
      </w:pPr>
      <w:rPr>
        <w:rFonts w:hint="default"/>
      </w:rPr>
    </w:lvl>
    <w:lvl w:ilvl="7" w:tplc="82CC68AE">
      <w:numFmt w:val="bullet"/>
      <w:lvlText w:val="•"/>
      <w:lvlJc w:val="left"/>
      <w:pPr>
        <w:ind w:left="6150" w:hanging="339"/>
      </w:pPr>
      <w:rPr>
        <w:rFonts w:hint="default"/>
      </w:rPr>
    </w:lvl>
    <w:lvl w:ilvl="8" w:tplc="3D3EF408">
      <w:numFmt w:val="bullet"/>
      <w:lvlText w:val="•"/>
      <w:lvlJc w:val="left"/>
      <w:pPr>
        <w:ind w:left="7035" w:hanging="339"/>
      </w:pPr>
      <w:rPr>
        <w:rFonts w:hint="default"/>
      </w:rPr>
    </w:lvl>
  </w:abstractNum>
  <w:abstractNum w:abstractNumId="3" w15:restartNumberingAfterBreak="0">
    <w:nsid w:val="64B714F1"/>
    <w:multiLevelType w:val="hybridMultilevel"/>
    <w:tmpl w:val="28A24F30"/>
    <w:lvl w:ilvl="0" w:tplc="6186C00C">
      <w:numFmt w:val="bullet"/>
      <w:lvlText w:val=""/>
      <w:lvlJc w:val="left"/>
      <w:pPr>
        <w:ind w:left="848" w:hanging="339"/>
      </w:pPr>
      <w:rPr>
        <w:rFonts w:ascii="Symbol" w:eastAsia="Symbol" w:hAnsi="Symbol" w:cs="Symbol" w:hint="default"/>
        <w:w w:val="102"/>
        <w:sz w:val="22"/>
        <w:szCs w:val="22"/>
      </w:rPr>
    </w:lvl>
    <w:lvl w:ilvl="1" w:tplc="1ECCEAFE">
      <w:numFmt w:val="bullet"/>
      <w:lvlText w:val="•"/>
      <w:lvlJc w:val="left"/>
      <w:pPr>
        <w:ind w:left="1636" w:hanging="339"/>
      </w:pPr>
      <w:rPr>
        <w:rFonts w:hint="default"/>
      </w:rPr>
    </w:lvl>
    <w:lvl w:ilvl="2" w:tplc="CB50429E">
      <w:numFmt w:val="bullet"/>
      <w:lvlText w:val="•"/>
      <w:lvlJc w:val="left"/>
      <w:pPr>
        <w:ind w:left="2433" w:hanging="339"/>
      </w:pPr>
      <w:rPr>
        <w:rFonts w:hint="default"/>
      </w:rPr>
    </w:lvl>
    <w:lvl w:ilvl="3" w:tplc="20608A30">
      <w:numFmt w:val="bullet"/>
      <w:lvlText w:val="•"/>
      <w:lvlJc w:val="left"/>
      <w:pPr>
        <w:ind w:left="3229" w:hanging="339"/>
      </w:pPr>
      <w:rPr>
        <w:rFonts w:hint="default"/>
      </w:rPr>
    </w:lvl>
    <w:lvl w:ilvl="4" w:tplc="E112EC66">
      <w:numFmt w:val="bullet"/>
      <w:lvlText w:val="•"/>
      <w:lvlJc w:val="left"/>
      <w:pPr>
        <w:ind w:left="4026" w:hanging="339"/>
      </w:pPr>
      <w:rPr>
        <w:rFonts w:hint="default"/>
      </w:rPr>
    </w:lvl>
    <w:lvl w:ilvl="5" w:tplc="B57AA0FE">
      <w:numFmt w:val="bullet"/>
      <w:lvlText w:val="•"/>
      <w:lvlJc w:val="left"/>
      <w:pPr>
        <w:ind w:left="4822" w:hanging="339"/>
      </w:pPr>
      <w:rPr>
        <w:rFonts w:hint="default"/>
      </w:rPr>
    </w:lvl>
    <w:lvl w:ilvl="6" w:tplc="A0A43DCE">
      <w:numFmt w:val="bullet"/>
      <w:lvlText w:val="•"/>
      <w:lvlJc w:val="left"/>
      <w:pPr>
        <w:ind w:left="5619" w:hanging="339"/>
      </w:pPr>
      <w:rPr>
        <w:rFonts w:hint="default"/>
      </w:rPr>
    </w:lvl>
    <w:lvl w:ilvl="7" w:tplc="6DAE0A4E">
      <w:numFmt w:val="bullet"/>
      <w:lvlText w:val="•"/>
      <w:lvlJc w:val="left"/>
      <w:pPr>
        <w:ind w:left="6415" w:hanging="339"/>
      </w:pPr>
      <w:rPr>
        <w:rFonts w:hint="default"/>
      </w:rPr>
    </w:lvl>
    <w:lvl w:ilvl="8" w:tplc="9DFA0346">
      <w:numFmt w:val="bullet"/>
      <w:lvlText w:val="•"/>
      <w:lvlJc w:val="left"/>
      <w:pPr>
        <w:ind w:left="7212" w:hanging="339"/>
      </w:pPr>
      <w:rPr>
        <w:rFonts w:hint="default"/>
      </w:rPr>
    </w:lvl>
  </w:abstractNum>
  <w:abstractNum w:abstractNumId="4" w15:restartNumberingAfterBreak="0">
    <w:nsid w:val="6C1E04EF"/>
    <w:multiLevelType w:val="multilevel"/>
    <w:tmpl w:val="39561C7C"/>
    <w:lvl w:ilvl="0">
      <w:start w:val="5"/>
      <w:numFmt w:val="decimal"/>
      <w:lvlText w:val="%1)."/>
      <w:lvlJc w:val="left"/>
      <w:pPr>
        <w:ind w:left="474" w:hanging="303"/>
        <w:jc w:val="left"/>
      </w:pPr>
      <w:rPr>
        <w:rFonts w:ascii="Times New Roman" w:eastAsia="Times New Roman" w:hAnsi="Times New Roman" w:cs="Times New Roman" w:hint="default"/>
        <w:b/>
        <w:bCs/>
        <w:w w:val="102"/>
        <w:sz w:val="22"/>
        <w:szCs w:val="22"/>
      </w:rPr>
    </w:lvl>
    <w:lvl w:ilvl="1">
      <w:start w:val="1"/>
      <w:numFmt w:val="decimal"/>
      <w:lvlText w:val="%1.%2"/>
      <w:lvlJc w:val="left"/>
      <w:pPr>
        <w:ind w:left="512" w:hanging="341"/>
        <w:jc w:val="left"/>
      </w:pPr>
      <w:rPr>
        <w:rFonts w:ascii="Times New Roman" w:eastAsia="Times New Roman" w:hAnsi="Times New Roman" w:cs="Times New Roman" w:hint="default"/>
        <w:b/>
        <w:bCs/>
        <w:w w:val="102"/>
        <w:sz w:val="22"/>
        <w:szCs w:val="22"/>
      </w:rPr>
    </w:lvl>
    <w:lvl w:ilvl="2">
      <w:start w:val="1"/>
      <w:numFmt w:val="decimal"/>
      <w:lvlText w:val="%3."/>
      <w:lvlJc w:val="left"/>
      <w:pPr>
        <w:ind w:left="848" w:hanging="339"/>
        <w:jc w:val="left"/>
      </w:pPr>
      <w:rPr>
        <w:rFonts w:ascii="Times New Roman" w:eastAsia="Times New Roman" w:hAnsi="Times New Roman" w:cs="Times New Roman" w:hint="default"/>
        <w:w w:val="102"/>
        <w:sz w:val="22"/>
        <w:szCs w:val="22"/>
      </w:rPr>
    </w:lvl>
    <w:lvl w:ilvl="3">
      <w:numFmt w:val="bullet"/>
      <w:lvlText w:val="•"/>
      <w:lvlJc w:val="left"/>
      <w:pPr>
        <w:ind w:left="1835" w:hanging="339"/>
      </w:pPr>
      <w:rPr>
        <w:rFonts w:hint="default"/>
      </w:rPr>
    </w:lvl>
    <w:lvl w:ilvl="4">
      <w:numFmt w:val="bullet"/>
      <w:lvlText w:val="•"/>
      <w:lvlJc w:val="left"/>
      <w:pPr>
        <w:ind w:left="2831" w:hanging="339"/>
      </w:pPr>
      <w:rPr>
        <w:rFonts w:hint="default"/>
      </w:rPr>
    </w:lvl>
    <w:lvl w:ilvl="5">
      <w:numFmt w:val="bullet"/>
      <w:lvlText w:val="•"/>
      <w:lvlJc w:val="left"/>
      <w:pPr>
        <w:ind w:left="3827" w:hanging="339"/>
      </w:pPr>
      <w:rPr>
        <w:rFonts w:hint="default"/>
      </w:rPr>
    </w:lvl>
    <w:lvl w:ilvl="6">
      <w:numFmt w:val="bullet"/>
      <w:lvlText w:val="•"/>
      <w:lvlJc w:val="left"/>
      <w:pPr>
        <w:ind w:left="4822" w:hanging="339"/>
      </w:pPr>
      <w:rPr>
        <w:rFonts w:hint="default"/>
      </w:rPr>
    </w:lvl>
    <w:lvl w:ilvl="7">
      <w:numFmt w:val="bullet"/>
      <w:lvlText w:val="•"/>
      <w:lvlJc w:val="left"/>
      <w:pPr>
        <w:ind w:left="5818" w:hanging="339"/>
      </w:pPr>
      <w:rPr>
        <w:rFonts w:hint="default"/>
      </w:rPr>
    </w:lvl>
    <w:lvl w:ilvl="8">
      <w:numFmt w:val="bullet"/>
      <w:lvlText w:val="•"/>
      <w:lvlJc w:val="left"/>
      <w:pPr>
        <w:ind w:left="6814" w:hanging="339"/>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026A2"/>
    <w:rsid w:val="002C726B"/>
    <w:rsid w:val="00360344"/>
    <w:rsid w:val="004026A2"/>
    <w:rsid w:val="007011FA"/>
    <w:rsid w:val="00C4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DFEC58"/>
  <w15:docId w15:val="{64E68CF8-6973-4BF7-8484-B948749A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4" w:hanging="34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pPr>
  </w:style>
  <w:style w:type="paragraph" w:styleId="ListParagraph">
    <w:name w:val="List Paragraph"/>
    <w:basedOn w:val="Normal"/>
    <w:uiPriority w:val="1"/>
    <w:qFormat/>
    <w:pPr>
      <w:spacing w:before="6"/>
      <w:ind w:left="848"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726B"/>
    <w:pPr>
      <w:tabs>
        <w:tab w:val="center" w:pos="4680"/>
        <w:tab w:val="right" w:pos="9360"/>
      </w:tabs>
    </w:pPr>
  </w:style>
  <w:style w:type="character" w:customStyle="1" w:styleId="HeaderChar">
    <w:name w:val="Header Char"/>
    <w:basedOn w:val="DefaultParagraphFont"/>
    <w:link w:val="Header"/>
    <w:uiPriority w:val="99"/>
    <w:rsid w:val="002C726B"/>
    <w:rPr>
      <w:rFonts w:ascii="Times New Roman" w:eastAsia="Times New Roman" w:hAnsi="Times New Roman" w:cs="Times New Roman"/>
    </w:rPr>
  </w:style>
  <w:style w:type="paragraph" w:styleId="Footer">
    <w:name w:val="footer"/>
    <w:basedOn w:val="Normal"/>
    <w:link w:val="FooterChar"/>
    <w:uiPriority w:val="99"/>
    <w:unhideWhenUsed/>
    <w:rsid w:val="002C726B"/>
    <w:pPr>
      <w:tabs>
        <w:tab w:val="center" w:pos="4680"/>
        <w:tab w:val="right" w:pos="9360"/>
      </w:tabs>
    </w:pPr>
  </w:style>
  <w:style w:type="character" w:customStyle="1" w:styleId="FooterChar">
    <w:name w:val="Footer Char"/>
    <w:basedOn w:val="DefaultParagraphFont"/>
    <w:link w:val="Footer"/>
    <w:uiPriority w:val="99"/>
    <w:rsid w:val="002C72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wman.wadesango@ul.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1910</Characters>
  <Application>Microsoft Office Word</Application>
  <DocSecurity>0</DocSecurity>
  <Lines>15</Lines>
  <Paragraphs>4</Paragraphs>
  <ScaleCrop>false</ScaleCrop>
  <Company>Microsoft</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2021-05-11T11:41:00Z</dcterms:created>
  <dcterms:modified xsi:type="dcterms:W3CDTF">2021-05-11T11:51:00Z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LastSaved">
    <vt:filetime>2021-05-11T00:00:00Z</vt:filetime>
  </property>
</Properties>
</file>