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F5EA" w14:textId="5E3B78CD" w:rsidR="00BC0A49" w:rsidRPr="00BC0A49" w:rsidRDefault="00E959FA" w:rsidP="00BC0A49">
      <w:pPr>
        <w:keepNext/>
        <w:keepLines/>
        <w:spacing w:after="0" w:line="360" w:lineRule="auto"/>
        <w:outlineLvl w:val="0"/>
        <w:rPr>
          <w:rFonts w:ascii="Book Antiqua" w:eastAsia="Times New Roman" w:hAnsi="Book Antiqua" w:cs="Times New Roman"/>
          <w:bCs/>
          <w:i/>
          <w:sz w:val="24"/>
          <w:szCs w:val="24"/>
        </w:rPr>
      </w:pPr>
      <w:r>
        <w:rPr>
          <w:i/>
        </w:rPr>
        <w:t>Maatouk Khoukhi</w:t>
      </w:r>
    </w:p>
    <w:p w14:paraId="1AD2E016" w14:textId="6E98EDAD" w:rsidR="00B723F0" w:rsidRDefault="00BC1463" w:rsidP="00050114">
      <w:pPr>
        <w:spacing w:after="0" w:line="360" w:lineRule="auto"/>
        <w:jc w:val="both"/>
        <w:rPr>
          <w:rFonts w:ascii="Book Antiqua" w:eastAsia="Calibri" w:hAnsi="Book Antiqua" w:cs="Times New Roman"/>
          <w:i/>
          <w:szCs w:val="20"/>
          <w:lang w:val="en-GB"/>
        </w:rPr>
      </w:pPr>
      <w:r>
        <w:rPr>
          <w:rFonts w:ascii="Book Antiqua" w:eastAsia="Calibri" w:hAnsi="Book Antiqua" w:cs="Times New Roman"/>
          <w:i/>
          <w:szCs w:val="20"/>
          <w:lang w:val="en-GB"/>
        </w:rPr>
        <w:t>Vol. m, No.n</w:t>
      </w:r>
      <w:r w:rsidR="00A22111">
        <w:rPr>
          <w:rFonts w:ascii="Book Antiqua" w:eastAsia="Calibri" w:hAnsi="Book Antiqua" w:cs="Times New Roman"/>
          <w:i/>
          <w:szCs w:val="20"/>
          <w:lang w:val="en-GB"/>
        </w:rPr>
        <w:t xml:space="preserve">, pp. a-b </w:t>
      </w:r>
      <w:r w:rsidR="003E4519">
        <w:rPr>
          <w:rFonts w:ascii="Book Antiqua" w:eastAsia="Calibri" w:hAnsi="Book Antiqua" w:cs="Times New Roman"/>
          <w:i/>
          <w:szCs w:val="20"/>
          <w:lang w:val="en-GB"/>
        </w:rPr>
        <w:t>(to be filled by editorial desk)</w:t>
      </w:r>
    </w:p>
    <w:p w14:paraId="26EB69CF" w14:textId="77777777" w:rsidR="006C40B1" w:rsidRDefault="006C40B1" w:rsidP="00050114">
      <w:pPr>
        <w:spacing w:after="0" w:line="360" w:lineRule="auto"/>
        <w:jc w:val="both"/>
        <w:rPr>
          <w:rFonts w:ascii="Book Antiqua" w:hAnsi="Book Antiqua"/>
          <w:i/>
        </w:rPr>
      </w:pPr>
      <w:r>
        <w:rPr>
          <w:rFonts w:ascii="Book Antiqua" w:hAnsi="Book Antiqua"/>
          <w:i/>
        </w:rPr>
        <w:t>Date of Publication:</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3046FE6B" w14:textId="77777777" w:rsidR="006C40B1" w:rsidRDefault="006C40B1" w:rsidP="00050114">
      <w:pPr>
        <w:spacing w:after="0" w:line="360" w:lineRule="auto"/>
        <w:jc w:val="both"/>
        <w:rPr>
          <w:rFonts w:ascii="Book Antiqua" w:hAnsi="Book Antiqua"/>
          <w:i/>
        </w:rPr>
      </w:pPr>
      <w:r>
        <w:rPr>
          <w:rFonts w:ascii="Book Antiqua" w:hAnsi="Book Antiqua"/>
          <w:i/>
        </w:rPr>
        <w:t>DOI:</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2E9B2F01" w14:textId="77777777" w:rsidR="006C40B1" w:rsidRPr="004C483D" w:rsidRDefault="006C40B1" w:rsidP="00050114">
      <w:pPr>
        <w:spacing w:after="0" w:line="360" w:lineRule="auto"/>
        <w:jc w:val="both"/>
        <w:rPr>
          <w:rFonts w:ascii="Book Antiqua" w:eastAsia="Calibri" w:hAnsi="Book Antiqua" w:cs="Times New Roman"/>
          <w:i/>
          <w:szCs w:val="20"/>
          <w:lang w:val="en-GB"/>
        </w:rPr>
      </w:pPr>
      <w:r w:rsidRPr="00EE0257">
        <w:rPr>
          <w:rFonts w:ascii="Book Antiqua" w:hAnsi="Book Antiqua"/>
          <w:i/>
        </w:rPr>
        <w:t>This paper can be cited as</w:t>
      </w:r>
      <w:r>
        <w:rPr>
          <w:rFonts w:ascii="Book Antiqua" w:hAnsi="Book Antiqua"/>
          <w:i/>
        </w:rPr>
        <w:t>:</w:t>
      </w:r>
      <w:r w:rsidRPr="006C40B1">
        <w:rPr>
          <w:rFonts w:ascii="Book Antiqua" w:eastAsia="Calibri" w:hAnsi="Book Antiqua" w:cs="Times New Roman"/>
          <w:i/>
          <w:szCs w:val="20"/>
          <w:lang w:val="en-GB"/>
        </w:rPr>
        <w:t xml:space="preserve"> </w:t>
      </w:r>
      <w:r>
        <w:rPr>
          <w:rFonts w:ascii="Book Antiqua" w:eastAsia="Calibri" w:hAnsi="Book Antiqua" w:cs="Times New Roman"/>
          <w:i/>
          <w:szCs w:val="20"/>
          <w:lang w:val="en-GB"/>
        </w:rPr>
        <w:t>(to be filled by editorial desk)</w:t>
      </w:r>
    </w:p>
    <w:p w14:paraId="126714EE" w14:textId="77777777" w:rsidR="008042A1" w:rsidRDefault="00961932" w:rsidP="00961932">
      <w:pPr>
        <w:spacing w:after="0" w:line="240" w:lineRule="auto"/>
        <w:contextualSpacing/>
        <w:jc w:val="both"/>
        <w:rPr>
          <w:rFonts w:ascii="Book Antiqua" w:eastAsia="Calibri" w:hAnsi="Book Antiqua" w:cs="Times New Roman"/>
          <w:i/>
          <w:szCs w:val="20"/>
          <w:lang w:val="en-GB"/>
        </w:rPr>
      </w:pPr>
      <w:r w:rsidRPr="00961932">
        <w:rPr>
          <w:rFonts w:ascii="Book Antiqua" w:eastAsia="Calibri" w:hAnsi="Book Antiqua" w:cs="Times New Roman"/>
          <w:i/>
          <w:szCs w:val="20"/>
          <w:lang w:val="en-GB"/>
        </w:rPr>
        <w:t>This work is licensed under the Creative Commons Attribution-NonCommercial 4.0 International License. To view a copy of this license, visit http://creativecommons.org/licenses/by-nc/4.0/ or send a letter to Creative Commons, PO Box 1866, Mountain View, CA 94042, USA.</w:t>
      </w:r>
    </w:p>
    <w:p w14:paraId="179AA097" w14:textId="77777777" w:rsidR="00961932" w:rsidRPr="00961932" w:rsidRDefault="00961932" w:rsidP="00961932">
      <w:pPr>
        <w:spacing w:after="0" w:line="240" w:lineRule="auto"/>
        <w:contextualSpacing/>
        <w:jc w:val="both"/>
        <w:rPr>
          <w:rFonts w:ascii="Book Antiqua" w:eastAsia="Calibri" w:hAnsi="Book Antiqua" w:cs="Times New Roman"/>
          <w:i/>
          <w:szCs w:val="20"/>
          <w:lang w:val="en-GB"/>
        </w:rPr>
      </w:pPr>
    </w:p>
    <w:p w14:paraId="220F8830" w14:textId="4A601133" w:rsidR="0069343B" w:rsidRPr="004C483D" w:rsidRDefault="00E959FA" w:rsidP="00E959FA">
      <w:pPr>
        <w:spacing w:after="0" w:line="240" w:lineRule="auto"/>
        <w:jc w:val="center"/>
        <w:rPr>
          <w:rFonts w:ascii="Times New Roman" w:hAnsi="Times New Roman" w:cs="Times New Roman"/>
          <w:b/>
          <w:sz w:val="32"/>
          <w:szCs w:val="32"/>
        </w:rPr>
      </w:pPr>
      <w:r w:rsidRPr="00E959FA">
        <w:rPr>
          <w:rFonts w:ascii="Times New Roman" w:hAnsi="Times New Roman" w:cs="Times New Roman"/>
          <w:b/>
          <w:bCs/>
          <w:sz w:val="32"/>
          <w:szCs w:val="32"/>
        </w:rPr>
        <w:t>Assessment of General Engineering Courses in Architectural Engineering Program in the UAE University and Recommendation Actions for Improvement</w:t>
      </w:r>
    </w:p>
    <w:p w14:paraId="48E87047" w14:textId="77777777" w:rsidR="00050114" w:rsidRPr="004C483D" w:rsidRDefault="00050114" w:rsidP="00050114">
      <w:pPr>
        <w:spacing w:after="0" w:line="240" w:lineRule="auto"/>
        <w:jc w:val="center"/>
        <w:rPr>
          <w:rFonts w:ascii="Times New Roman" w:hAnsi="Times New Roman" w:cs="Times New Roman"/>
          <w:b/>
          <w:sz w:val="32"/>
          <w:szCs w:val="32"/>
        </w:rPr>
      </w:pPr>
    </w:p>
    <w:p w14:paraId="182841A4" w14:textId="5FA79048" w:rsidR="00A91A1F" w:rsidRPr="004C483D" w:rsidRDefault="00E959FA"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Maatouk Khoukhi</w:t>
      </w:r>
    </w:p>
    <w:p w14:paraId="5B6AEEFE" w14:textId="4201270B" w:rsidR="00A91A1F" w:rsidRDefault="00E959FA" w:rsidP="00E959F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College of Engineering</w:t>
      </w:r>
      <w:r w:rsidR="00BC0A49">
        <w:rPr>
          <w:rFonts w:ascii="Times New Roman" w:hAnsi="Times New Roman" w:cs="Times New Roman"/>
          <w:i/>
          <w:sz w:val="24"/>
          <w:szCs w:val="24"/>
        </w:rPr>
        <w:t xml:space="preserve">, </w:t>
      </w:r>
      <w:r>
        <w:rPr>
          <w:rFonts w:ascii="Times New Roman" w:hAnsi="Times New Roman" w:cs="Times New Roman"/>
          <w:i/>
          <w:sz w:val="24"/>
          <w:szCs w:val="24"/>
        </w:rPr>
        <w:t xml:space="preserve">United Arab Emirates </w:t>
      </w:r>
      <w:r w:rsidR="00BC0A49">
        <w:rPr>
          <w:rFonts w:ascii="Times New Roman" w:hAnsi="Times New Roman" w:cs="Times New Roman"/>
          <w:i/>
          <w:sz w:val="24"/>
          <w:szCs w:val="24"/>
        </w:rPr>
        <w:t xml:space="preserve">University, </w:t>
      </w:r>
      <w:r>
        <w:rPr>
          <w:rFonts w:ascii="Times New Roman" w:hAnsi="Times New Roman" w:cs="Times New Roman"/>
          <w:i/>
          <w:sz w:val="24"/>
          <w:szCs w:val="24"/>
        </w:rPr>
        <w:t>Al Ain</w:t>
      </w:r>
      <w:r w:rsidR="00BC0A49">
        <w:rPr>
          <w:rFonts w:ascii="Times New Roman" w:hAnsi="Times New Roman" w:cs="Times New Roman"/>
          <w:i/>
          <w:sz w:val="24"/>
          <w:szCs w:val="24"/>
        </w:rPr>
        <w:t xml:space="preserve">, </w:t>
      </w:r>
      <w:r>
        <w:rPr>
          <w:rFonts w:ascii="Times New Roman" w:hAnsi="Times New Roman" w:cs="Times New Roman"/>
          <w:i/>
          <w:sz w:val="24"/>
          <w:szCs w:val="24"/>
        </w:rPr>
        <w:t>UAE</w:t>
      </w:r>
      <w:r w:rsidR="00BC0A49">
        <w:rPr>
          <w:rFonts w:ascii="Times New Roman" w:hAnsi="Times New Roman" w:cs="Times New Roman"/>
          <w:i/>
          <w:sz w:val="24"/>
          <w:szCs w:val="24"/>
        </w:rPr>
        <w:t xml:space="preserve">, </w:t>
      </w:r>
      <w:r>
        <w:rPr>
          <w:rFonts w:ascii="Times New Roman" w:hAnsi="Times New Roman" w:cs="Times New Roman"/>
          <w:i/>
          <w:sz w:val="24"/>
          <w:szCs w:val="24"/>
        </w:rPr>
        <w:t>mkhoukhi@uaeu.ac.ae</w:t>
      </w:r>
      <w:r w:rsidR="00A91A1F" w:rsidRPr="004C483D">
        <w:rPr>
          <w:rFonts w:ascii="Times New Roman" w:hAnsi="Times New Roman" w:cs="Times New Roman"/>
          <w:i/>
          <w:sz w:val="24"/>
          <w:szCs w:val="24"/>
        </w:rPr>
        <w:t xml:space="preserve"> </w:t>
      </w:r>
    </w:p>
    <w:p w14:paraId="305F6BE1" w14:textId="77777777" w:rsidR="00A91A1F" w:rsidRDefault="00A91A1F" w:rsidP="00A91A1F">
      <w:pPr>
        <w:spacing w:after="0" w:line="240" w:lineRule="auto"/>
        <w:jc w:val="center"/>
        <w:rPr>
          <w:rFonts w:ascii="Times New Roman" w:hAnsi="Times New Roman" w:cs="Times New Roman"/>
          <w:i/>
          <w:sz w:val="24"/>
          <w:szCs w:val="24"/>
        </w:rPr>
      </w:pPr>
    </w:p>
    <w:p w14:paraId="7C890FB5" w14:textId="77777777" w:rsidR="006C40B1" w:rsidRPr="004C483D" w:rsidRDefault="006C40B1" w:rsidP="006C40B1">
      <w:pPr>
        <w:spacing w:after="0" w:line="240" w:lineRule="auto"/>
        <w:rPr>
          <w:rFonts w:ascii="Times New Roman" w:hAnsi="Times New Roman" w:cs="Times New Roman"/>
          <w:i/>
          <w:sz w:val="24"/>
          <w:szCs w:val="24"/>
        </w:rPr>
      </w:pPr>
    </w:p>
    <w:p w14:paraId="312C9CEC" w14:textId="65660B36" w:rsidR="003D1228" w:rsidRPr="004C483D" w:rsidRDefault="003D1228" w:rsidP="00E959FA">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12B2D3B3" w14:textId="7C664098" w:rsidR="005826B0" w:rsidRPr="00F80EF2" w:rsidRDefault="00E959FA" w:rsidP="00E959FA">
      <w:pPr>
        <w:spacing w:after="0" w:line="360" w:lineRule="auto"/>
        <w:jc w:val="both"/>
        <w:rPr>
          <w:rFonts w:ascii="Times New Roman" w:hAnsi="Times New Roman" w:cs="Times New Roman"/>
          <w:i/>
          <w:sz w:val="24"/>
          <w:szCs w:val="24"/>
        </w:rPr>
      </w:pPr>
      <w:r w:rsidRPr="00E959FA">
        <w:rPr>
          <w:rFonts w:ascii="Times New Roman" w:hAnsi="Times New Roman" w:cs="Times New Roman"/>
          <w:i/>
          <w:sz w:val="24"/>
          <w:szCs w:val="24"/>
        </w:rPr>
        <w:t>The current study examined the Architectural Engineering (AE) students at College of Engineering (CE) at United Arab Emirates University (UAEU) learning outcomes through assessing three main engineering requirement courses. The assessment is based on the direct method which consists on the achievement of the students and their capability to demonstrate mastery through actual work or work products such as exams and assignments. The courses learning outcomes (CLOs) for each course for the AE program have been analyzed in term of level of achievement and compared with the overall achievements of all students enrolled in the same courses at the CE. This assessment has been carried out for three continuous semester fall 2019, spring 2020, and fall 2020. Indeed, some deficiencies in term of CLOs achievement which has been set below 70% are recorded and remedial actions have been provided for improvement. The second part of this study consist on the comparison of the attainment level of the CLOs of one selected course between two consecutives semester fall 2019 and spring 2020. Indeed, this period was characterized by the drastic change in the teaching method moving from traditional way of face to face interaction with student to online teaching. The engineering general course of Ethics</w:t>
      </w:r>
      <w:r w:rsidR="00030279">
        <w:rPr>
          <w:rFonts w:ascii="Times New Roman" w:hAnsi="Times New Roman" w:cs="Times New Roman"/>
          <w:i/>
          <w:sz w:val="24"/>
          <w:szCs w:val="24"/>
        </w:rPr>
        <w:t xml:space="preserve"> (GENG215)</w:t>
      </w:r>
      <w:r w:rsidRPr="00E959FA">
        <w:rPr>
          <w:rFonts w:ascii="Times New Roman" w:hAnsi="Times New Roman" w:cs="Times New Roman"/>
          <w:i/>
          <w:sz w:val="24"/>
          <w:szCs w:val="24"/>
        </w:rPr>
        <w:t xml:space="preserve"> has been assessed in term of comparison of CLOs attainment between the two teaching methods. The CLO related to the design process using systematic design methods appears to be more affected with lower </w:t>
      </w:r>
      <w:r w:rsidRPr="00E959FA">
        <w:rPr>
          <w:rFonts w:ascii="Times New Roman" w:hAnsi="Times New Roman" w:cs="Times New Roman"/>
          <w:i/>
          <w:sz w:val="24"/>
          <w:szCs w:val="24"/>
        </w:rPr>
        <w:lastRenderedPageBreak/>
        <w:t>performance obtained during the online teaching period where both the students and instructors were not that prepared to tackle different situations, opportunities, and problems associated with the online scenario</w:t>
      </w:r>
      <w:r w:rsidR="00030279">
        <w:rPr>
          <w:rFonts w:ascii="Times New Roman" w:hAnsi="Times New Roman" w:cs="Times New Roman"/>
          <w:i/>
          <w:sz w:val="24"/>
          <w:szCs w:val="24"/>
        </w:rPr>
        <w:t>.</w:t>
      </w:r>
    </w:p>
    <w:p w14:paraId="71702D5A" w14:textId="38F4B4F4" w:rsidR="00F05F90" w:rsidRPr="004C483D" w:rsidRDefault="003D1228" w:rsidP="00FB1246">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r w:rsidRPr="004C483D">
        <w:rPr>
          <w:rFonts w:ascii="Times New Roman" w:hAnsi="Times New Roman" w:cs="Times New Roman"/>
          <w:b/>
          <w:sz w:val="24"/>
          <w:szCs w:val="24"/>
        </w:rPr>
        <w:t xml:space="preserve"> </w:t>
      </w:r>
    </w:p>
    <w:p w14:paraId="7788BFCA" w14:textId="2046F3F8" w:rsidR="006C1792" w:rsidRPr="006C40B1" w:rsidRDefault="00E959FA" w:rsidP="00E959FA">
      <w:pPr>
        <w:rPr>
          <w:rFonts w:ascii="Times New Roman" w:hAnsi="Times New Roman" w:cs="Times New Roman"/>
          <w:sz w:val="24"/>
          <w:szCs w:val="24"/>
        </w:rPr>
      </w:pPr>
      <w:r w:rsidRPr="00E959FA">
        <w:rPr>
          <w:rFonts w:ascii="Times New Roman" w:hAnsi="Times New Roman" w:cs="Times New Roman"/>
          <w:sz w:val="24"/>
          <w:szCs w:val="24"/>
        </w:rPr>
        <w:t>General engineering courses; Architectural Engineering Program; Course assessment; ABET</w:t>
      </w:r>
    </w:p>
    <w:p w14:paraId="5432B060" w14:textId="09A07110" w:rsidR="003D1228" w:rsidRPr="004C483D" w:rsidRDefault="003D1228" w:rsidP="00E959FA">
      <w:pPr>
        <w:spacing w:after="0" w:line="360" w:lineRule="auto"/>
        <w:jc w:val="both"/>
        <w:rPr>
          <w:rFonts w:ascii="Times New Roman" w:hAnsi="Times New Roman" w:cs="Times New Roman"/>
          <w:b/>
          <w:sz w:val="28"/>
          <w:szCs w:val="28"/>
        </w:rPr>
      </w:pPr>
      <w:r w:rsidRPr="004C483D">
        <w:rPr>
          <w:rFonts w:ascii="Times New Roman" w:hAnsi="Times New Roman" w:cs="Times New Roman"/>
          <w:b/>
          <w:sz w:val="28"/>
          <w:szCs w:val="28"/>
        </w:rPr>
        <w:t xml:space="preserve">1. Introduction </w:t>
      </w:r>
    </w:p>
    <w:p w14:paraId="127415DF" w14:textId="5EBC8891" w:rsidR="00E959FA" w:rsidRPr="00E959FA" w:rsidRDefault="00E959FA" w:rsidP="00603B1D">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 xml:space="preserve">Different college programs are assessing and monitoring students learning outcomes by implementing several assessment tools across multiple levels within their institutions </w:t>
      </w:r>
      <w:r w:rsidR="00603B1D">
        <w:rPr>
          <w:rFonts w:ascii="Times New Roman" w:eastAsia="Times New Roman" w:hAnsi="Times New Roman" w:cs="Times New Roman"/>
          <w:sz w:val="24"/>
        </w:rPr>
        <w:t>(Banta, 2</w:t>
      </w:r>
      <w:r w:rsidR="00603B1D" w:rsidRPr="00603B1D">
        <w:rPr>
          <w:rFonts w:ascii="Times New Roman" w:eastAsia="Times New Roman" w:hAnsi="Times New Roman" w:cs="Times New Roman"/>
          <w:sz w:val="24"/>
        </w:rPr>
        <w:t>004)</w:t>
      </w:r>
      <w:r w:rsidRPr="00E959FA">
        <w:rPr>
          <w:rFonts w:ascii="Times New Roman" w:eastAsia="Times New Roman" w:hAnsi="Times New Roman" w:cs="Times New Roman"/>
          <w:sz w:val="24"/>
        </w:rPr>
        <w:t>. Two major methods of courses assessment are being used by academic institutions which are direct and indirect methods. Direct methods of courses assessment demonstrate mastery through exams and assignments for instance. Indirect measures, reflect opinions and are obtained from surveys and i</w:t>
      </w:r>
      <w:r w:rsidR="00603B1D">
        <w:rPr>
          <w:rFonts w:ascii="Times New Roman" w:eastAsia="Times New Roman" w:hAnsi="Times New Roman" w:cs="Times New Roman"/>
          <w:sz w:val="24"/>
        </w:rPr>
        <w:t xml:space="preserve">nterviews (Price &amp; Randall, </w:t>
      </w:r>
      <w:r w:rsidR="00603B1D" w:rsidRPr="00603B1D">
        <w:rPr>
          <w:rFonts w:ascii="Times New Roman" w:eastAsia="Times New Roman" w:hAnsi="Times New Roman" w:cs="Times New Roman"/>
          <w:sz w:val="24"/>
        </w:rPr>
        <w:t>2008).</w:t>
      </w:r>
    </w:p>
    <w:p w14:paraId="0A77B740" w14:textId="58F805E5" w:rsidR="00E959FA" w:rsidRPr="00E959FA" w:rsidRDefault="00E959FA" w:rsidP="00657645">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 xml:space="preserve">The United Arab Emirates University (UAEU) has 9 separate </w:t>
      </w:r>
      <w:r w:rsidR="00030279">
        <w:rPr>
          <w:rFonts w:ascii="Times New Roman" w:eastAsia="Times New Roman" w:hAnsi="Times New Roman" w:cs="Times New Roman"/>
          <w:sz w:val="24"/>
        </w:rPr>
        <w:t>c</w:t>
      </w:r>
      <w:r w:rsidRPr="00E959FA">
        <w:rPr>
          <w:rFonts w:ascii="Times New Roman" w:eastAsia="Times New Roman" w:hAnsi="Times New Roman" w:cs="Times New Roman"/>
          <w:sz w:val="24"/>
        </w:rPr>
        <w:t>olleges, in addition to College of Graduate Studies and University College, hosting a comprehensive range of academi</w:t>
      </w:r>
      <w:r w:rsidR="00657645">
        <w:rPr>
          <w:rFonts w:ascii="Times New Roman" w:eastAsia="Times New Roman" w:hAnsi="Times New Roman" w:cs="Times New Roman"/>
          <w:sz w:val="24"/>
        </w:rPr>
        <w:t>c disciplines and departments (</w:t>
      </w:r>
      <w:r w:rsidR="00657645" w:rsidRPr="00657645">
        <w:rPr>
          <w:rFonts w:ascii="Times New Roman" w:eastAsia="Times New Roman" w:hAnsi="Times New Roman" w:cs="Times New Roman"/>
          <w:sz w:val="24"/>
        </w:rPr>
        <w:t>https://www.uaeu.ac.ae/en/colleges.shtml</w:t>
      </w:r>
      <w:r w:rsidR="00657645">
        <w:rPr>
          <w:rFonts w:ascii="Times New Roman" w:eastAsia="Times New Roman" w:hAnsi="Times New Roman" w:cs="Times New Roman"/>
          <w:sz w:val="24"/>
        </w:rPr>
        <w:t>)</w:t>
      </w:r>
      <w:r w:rsidRPr="00E959FA">
        <w:rPr>
          <w:rFonts w:ascii="Times New Roman" w:eastAsia="Times New Roman" w:hAnsi="Times New Roman" w:cs="Times New Roman"/>
          <w:sz w:val="24"/>
        </w:rPr>
        <w:t>. The College of Engineering</w:t>
      </w:r>
      <w:r w:rsidR="00B95D91">
        <w:rPr>
          <w:rFonts w:ascii="Times New Roman" w:eastAsia="Times New Roman" w:hAnsi="Times New Roman" w:cs="Times New Roman"/>
          <w:sz w:val="24"/>
        </w:rPr>
        <w:t xml:space="preserve"> (CE)</w:t>
      </w:r>
      <w:r w:rsidRPr="00E959FA">
        <w:rPr>
          <w:rFonts w:ascii="Times New Roman" w:eastAsia="Times New Roman" w:hAnsi="Times New Roman" w:cs="Times New Roman"/>
          <w:sz w:val="24"/>
        </w:rPr>
        <w:t xml:space="preserve"> was inaugurated in 1980 and includes five academic departments that offer seven Bachelor degrees, namely Architectural Engineering, Chemical Engineering, Civil Engineering, Communication Engineering, Electrical Engineering, Mechanical Engineering, and Petroleum Engineering, all of which are recognized nationally by the Ministry of Higher Education and Scientific Research. In addition, all undergraduate programs in the </w:t>
      </w:r>
      <w:r w:rsidR="00B95D91">
        <w:rPr>
          <w:rFonts w:ascii="Times New Roman" w:eastAsia="Times New Roman" w:hAnsi="Times New Roman" w:cs="Times New Roman"/>
          <w:sz w:val="24"/>
        </w:rPr>
        <w:t>CE</w:t>
      </w:r>
      <w:r w:rsidRPr="00E959FA">
        <w:rPr>
          <w:rFonts w:ascii="Times New Roman" w:eastAsia="Times New Roman" w:hAnsi="Times New Roman" w:cs="Times New Roman"/>
          <w:sz w:val="24"/>
        </w:rPr>
        <w:t xml:space="preserve"> are accredited by the Engineering Accreditation Commission of Accreditation Board for Eng</w:t>
      </w:r>
      <w:r w:rsidR="00657645">
        <w:rPr>
          <w:rFonts w:ascii="Times New Roman" w:eastAsia="Times New Roman" w:hAnsi="Times New Roman" w:cs="Times New Roman"/>
          <w:sz w:val="24"/>
        </w:rPr>
        <w:t>ineering and Technology (ABET) (</w:t>
      </w:r>
      <w:r w:rsidR="00657645" w:rsidRPr="00657645">
        <w:rPr>
          <w:rFonts w:ascii="Times New Roman" w:eastAsia="Times New Roman" w:hAnsi="Times New Roman" w:cs="Times New Roman"/>
          <w:sz w:val="24"/>
        </w:rPr>
        <w:t>https://eng.uaeu.ac.ae/en/about/index.shtml</w:t>
      </w:r>
      <w:r w:rsidR="00657645">
        <w:rPr>
          <w:rFonts w:ascii="Times New Roman" w:eastAsia="Times New Roman" w:hAnsi="Times New Roman" w:cs="Times New Roman"/>
          <w:sz w:val="24"/>
        </w:rPr>
        <w:t>)</w:t>
      </w:r>
      <w:r w:rsidRPr="00E959FA">
        <w:rPr>
          <w:rFonts w:ascii="Times New Roman" w:eastAsia="Times New Roman" w:hAnsi="Times New Roman" w:cs="Times New Roman"/>
          <w:sz w:val="24"/>
        </w:rPr>
        <w:t>. ABET is a nonprofit, non-governmental organization that accredits college and university programs in the disciplines of applied science, computing, engineerin</w:t>
      </w:r>
      <w:r w:rsidR="00657645">
        <w:rPr>
          <w:rFonts w:ascii="Times New Roman" w:eastAsia="Times New Roman" w:hAnsi="Times New Roman" w:cs="Times New Roman"/>
          <w:sz w:val="24"/>
        </w:rPr>
        <w:t>g, and engineering technology (</w:t>
      </w:r>
      <w:r w:rsidR="00657645" w:rsidRPr="00657645">
        <w:rPr>
          <w:rFonts w:ascii="Times New Roman" w:eastAsia="Times New Roman" w:hAnsi="Times New Roman" w:cs="Times New Roman"/>
          <w:sz w:val="24"/>
        </w:rPr>
        <w:t>https://www.abet.org/</w:t>
      </w:r>
      <w:r w:rsidR="00657645">
        <w:rPr>
          <w:rFonts w:ascii="Times New Roman" w:eastAsia="Times New Roman" w:hAnsi="Times New Roman" w:cs="Times New Roman"/>
          <w:sz w:val="24"/>
        </w:rPr>
        <w:t>)</w:t>
      </w:r>
      <w:r w:rsidRPr="00E959FA">
        <w:rPr>
          <w:rFonts w:ascii="Times New Roman" w:eastAsia="Times New Roman" w:hAnsi="Times New Roman" w:cs="Times New Roman"/>
          <w:sz w:val="24"/>
        </w:rPr>
        <w:t>.</w:t>
      </w:r>
    </w:p>
    <w:p w14:paraId="2DBDBE4F" w14:textId="7016B438" w:rsidR="00E959FA" w:rsidRPr="00E959FA" w:rsidRDefault="00E959FA" w:rsidP="00B95D91">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 xml:space="preserve">The Center for Excellence in Teaching &amp; Learning (CETL) supports the UAEU’s strategic vision and mission by promoting emerging educational technologies and teaching pedagogies among faculty members and instructors. This center promotes discovery, reflection, and evidence based methods to research on effective teaching and student learning and assessing and measuring teaching effectiveness and efficiency as well. All courses taught at </w:t>
      </w:r>
      <w:r w:rsidR="00B95D91">
        <w:rPr>
          <w:rFonts w:ascii="Times New Roman" w:eastAsia="Times New Roman" w:hAnsi="Times New Roman" w:cs="Times New Roman"/>
          <w:sz w:val="24"/>
        </w:rPr>
        <w:t>CE</w:t>
      </w:r>
      <w:r w:rsidRPr="00E959FA">
        <w:rPr>
          <w:rFonts w:ascii="Times New Roman" w:eastAsia="Times New Roman" w:hAnsi="Times New Roman" w:cs="Times New Roman"/>
          <w:sz w:val="24"/>
        </w:rPr>
        <w:t xml:space="preserve"> are subjected each semester to direct and indirect assessment. </w:t>
      </w:r>
    </w:p>
    <w:p w14:paraId="633AAF0B" w14:textId="098DFE03" w:rsidR="00E959FA" w:rsidRPr="00E959FA" w:rsidRDefault="00E959FA" w:rsidP="00B95D91">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The College of Engineering Requirement Courses (ERU) provide students with solid foundation in basic science, mathematics and gen</w:t>
      </w:r>
      <w:r w:rsidR="00B95D91">
        <w:rPr>
          <w:rFonts w:ascii="Times New Roman" w:eastAsia="Times New Roman" w:hAnsi="Times New Roman" w:cs="Times New Roman"/>
          <w:sz w:val="24"/>
        </w:rPr>
        <w:t xml:space="preserve">eral engineering fundamentals. </w:t>
      </w:r>
      <w:r w:rsidRPr="00E959FA">
        <w:rPr>
          <w:rFonts w:ascii="Times New Roman" w:eastAsia="Times New Roman" w:hAnsi="Times New Roman" w:cs="Times New Roman"/>
          <w:sz w:val="24"/>
        </w:rPr>
        <w:t xml:space="preserve">The ERU manages and coordinates with the College of Science to offer all basic science courses (including mathematics, physics and chemistry courses) that are required to be taken by all students in the </w:t>
      </w:r>
      <w:r w:rsidR="00B95D91">
        <w:rPr>
          <w:rFonts w:ascii="Times New Roman" w:eastAsia="Times New Roman" w:hAnsi="Times New Roman" w:cs="Times New Roman"/>
          <w:sz w:val="24"/>
        </w:rPr>
        <w:t>CE</w:t>
      </w:r>
      <w:r w:rsidRPr="00E959FA">
        <w:rPr>
          <w:rFonts w:ascii="Times New Roman" w:eastAsia="Times New Roman" w:hAnsi="Times New Roman" w:cs="Times New Roman"/>
          <w:sz w:val="24"/>
        </w:rPr>
        <w:t xml:space="preserve">. Moreover, the unit offers the general fundamental engineering courses that are needed for all </w:t>
      </w:r>
      <w:r w:rsidR="00B95D91">
        <w:rPr>
          <w:rFonts w:ascii="Times New Roman" w:eastAsia="Times New Roman" w:hAnsi="Times New Roman" w:cs="Times New Roman"/>
          <w:sz w:val="24"/>
        </w:rPr>
        <w:t xml:space="preserve">CE </w:t>
      </w:r>
      <w:r w:rsidRPr="00E959FA">
        <w:rPr>
          <w:rFonts w:ascii="Times New Roman" w:eastAsia="Times New Roman" w:hAnsi="Times New Roman" w:cs="Times New Roman"/>
          <w:sz w:val="24"/>
        </w:rPr>
        <w:t>students including Engineering Ethics (GENG215), Engineering Thermodynamics (GENG220), and Eng</w:t>
      </w:r>
      <w:r w:rsidR="00657645">
        <w:rPr>
          <w:rFonts w:ascii="Times New Roman" w:eastAsia="Times New Roman" w:hAnsi="Times New Roman" w:cs="Times New Roman"/>
          <w:sz w:val="24"/>
        </w:rPr>
        <w:t>ineering Economics (GENG315) (</w:t>
      </w:r>
      <w:r w:rsidR="00657645" w:rsidRPr="00657645">
        <w:rPr>
          <w:rFonts w:ascii="Times New Roman" w:eastAsia="Times New Roman" w:hAnsi="Times New Roman" w:cs="Times New Roman"/>
          <w:sz w:val="24"/>
        </w:rPr>
        <w:t>https://eng.uaeu.ac.ae/en/departments/eru/about.shtml</w:t>
      </w:r>
      <w:r w:rsidR="00657645">
        <w:rPr>
          <w:rFonts w:ascii="Times New Roman" w:eastAsia="Times New Roman" w:hAnsi="Times New Roman" w:cs="Times New Roman"/>
          <w:sz w:val="24"/>
        </w:rPr>
        <w:t>)</w:t>
      </w:r>
      <w:r w:rsidRPr="00E959FA">
        <w:rPr>
          <w:rFonts w:ascii="Times New Roman" w:eastAsia="Times New Roman" w:hAnsi="Times New Roman" w:cs="Times New Roman"/>
          <w:sz w:val="24"/>
        </w:rPr>
        <w:t>.</w:t>
      </w:r>
    </w:p>
    <w:p w14:paraId="5D5A2ABC" w14:textId="77674638" w:rsidR="00E959FA" w:rsidRPr="00E959FA" w:rsidRDefault="00E959FA" w:rsidP="004245E4">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As mentioned above this study will focus on the direct measures of learning which demonstrate a master of knowledge rather than an opinion about one’s ability. There are several methods of dire</w:t>
      </w:r>
      <w:r w:rsidR="00657645">
        <w:rPr>
          <w:rFonts w:ascii="Times New Roman" w:eastAsia="Times New Roman" w:hAnsi="Times New Roman" w:cs="Times New Roman"/>
          <w:sz w:val="24"/>
        </w:rPr>
        <w:t xml:space="preserve">ct measurement as described by (Luce &amp; Kirman, </w:t>
      </w:r>
      <w:r w:rsidR="00657645" w:rsidRPr="00657645">
        <w:rPr>
          <w:rFonts w:ascii="Times New Roman" w:eastAsia="Times New Roman" w:hAnsi="Times New Roman" w:cs="Times New Roman"/>
          <w:sz w:val="24"/>
        </w:rPr>
        <w:t>2016)</w:t>
      </w:r>
      <w:r w:rsidRPr="00E959FA">
        <w:rPr>
          <w:rFonts w:ascii="Times New Roman" w:eastAsia="Times New Roman" w:hAnsi="Times New Roman" w:cs="Times New Roman"/>
          <w:sz w:val="24"/>
        </w:rPr>
        <w:t xml:space="preserve"> which include tests, papers, projects and presentations. This direct method administered through the whole semester will identify the increased knowledge gained by the students from the s</w:t>
      </w:r>
      <w:r w:rsidR="00657645">
        <w:rPr>
          <w:rFonts w:ascii="Times New Roman" w:eastAsia="Times New Roman" w:hAnsi="Times New Roman" w:cs="Times New Roman"/>
          <w:sz w:val="24"/>
        </w:rPr>
        <w:t xml:space="preserve">tart to the end of the course (Pederson &amp; White, </w:t>
      </w:r>
      <w:r w:rsidR="00657645" w:rsidRPr="00657645">
        <w:rPr>
          <w:rFonts w:ascii="Times New Roman" w:eastAsia="Times New Roman" w:hAnsi="Times New Roman" w:cs="Times New Roman"/>
          <w:sz w:val="24"/>
        </w:rPr>
        <w:t>2011)</w:t>
      </w:r>
      <w:r w:rsidRPr="00E959FA">
        <w:rPr>
          <w:rFonts w:ascii="Times New Roman" w:eastAsia="Times New Roman" w:hAnsi="Times New Roman" w:cs="Times New Roman"/>
          <w:sz w:val="24"/>
        </w:rPr>
        <w:t>.  Several researchers highlighted the importance to clarify what we want students to learn from the assignments and the build and design the assignments that will</w:t>
      </w:r>
      <w:r w:rsidR="004245E4">
        <w:rPr>
          <w:rFonts w:ascii="Times New Roman" w:eastAsia="Times New Roman" w:hAnsi="Times New Roman" w:cs="Times New Roman"/>
          <w:sz w:val="24"/>
        </w:rPr>
        <w:t xml:space="preserve"> help them achieve those goals (</w:t>
      </w:r>
      <w:r w:rsidR="004245E4" w:rsidRPr="004245E4">
        <w:rPr>
          <w:rFonts w:ascii="Times New Roman" w:eastAsia="Times New Roman" w:hAnsi="Times New Roman" w:cs="Times New Roman"/>
          <w:sz w:val="24"/>
        </w:rPr>
        <w:t>Ban</w:t>
      </w:r>
      <w:r w:rsidR="004245E4">
        <w:rPr>
          <w:rFonts w:ascii="Times New Roman" w:eastAsia="Times New Roman" w:hAnsi="Times New Roman" w:cs="Times New Roman"/>
          <w:sz w:val="24"/>
        </w:rPr>
        <w:t>ta &amp;Palomba, 2015; Suskie, 2009)</w:t>
      </w:r>
      <w:r w:rsidRPr="00E959FA">
        <w:rPr>
          <w:rFonts w:ascii="Times New Roman" w:eastAsia="Times New Roman" w:hAnsi="Times New Roman" w:cs="Times New Roman"/>
          <w:sz w:val="24"/>
        </w:rPr>
        <w:t xml:space="preserve">. </w:t>
      </w:r>
    </w:p>
    <w:p w14:paraId="4FC8B582" w14:textId="2429E7A8" w:rsidR="00EE1C3F" w:rsidRDefault="00E959FA" w:rsidP="00FB189D">
      <w:pPr>
        <w:spacing w:after="0" w:line="360" w:lineRule="auto"/>
        <w:ind w:firstLine="720"/>
        <w:jc w:val="both"/>
        <w:rPr>
          <w:rFonts w:ascii="Times New Roman" w:eastAsia="Times New Roman" w:hAnsi="Times New Roman" w:cs="Times New Roman"/>
          <w:sz w:val="24"/>
        </w:rPr>
      </w:pPr>
      <w:r w:rsidRPr="00E959FA">
        <w:rPr>
          <w:rFonts w:ascii="Times New Roman" w:eastAsia="Times New Roman" w:hAnsi="Times New Roman" w:cs="Times New Roman"/>
          <w:sz w:val="24"/>
        </w:rPr>
        <w:t xml:space="preserve">The target of this paper is to highlight the assessment of the GENG215, GENG220, and GENG315 taken by AE students </w:t>
      </w:r>
      <w:r w:rsidR="00FB189D">
        <w:rPr>
          <w:rFonts w:ascii="Times New Roman" w:eastAsia="Times New Roman" w:hAnsi="Times New Roman" w:cs="Times New Roman"/>
          <w:sz w:val="24"/>
        </w:rPr>
        <w:t xml:space="preserve">and compare them with CE students </w:t>
      </w:r>
      <w:r w:rsidRPr="00E959FA">
        <w:rPr>
          <w:rFonts w:ascii="Times New Roman" w:eastAsia="Times New Roman" w:hAnsi="Times New Roman" w:cs="Times New Roman"/>
          <w:sz w:val="24"/>
        </w:rPr>
        <w:t xml:space="preserve">and </w:t>
      </w:r>
      <w:r w:rsidR="00FB189D">
        <w:rPr>
          <w:rFonts w:ascii="Times New Roman" w:eastAsia="Times New Roman" w:hAnsi="Times New Roman" w:cs="Times New Roman"/>
          <w:sz w:val="24"/>
        </w:rPr>
        <w:t xml:space="preserve">provide </w:t>
      </w:r>
      <w:r w:rsidRPr="00E959FA">
        <w:rPr>
          <w:rFonts w:ascii="Times New Roman" w:eastAsia="Times New Roman" w:hAnsi="Times New Roman" w:cs="Times New Roman"/>
          <w:sz w:val="24"/>
        </w:rPr>
        <w:t xml:space="preserve">the recommendation actions for improvement during the last three semesters. The impact of online teaching students’ performance was also </w:t>
      </w:r>
      <w:r w:rsidR="00FB189D">
        <w:rPr>
          <w:rFonts w:ascii="Times New Roman" w:eastAsia="Times New Roman" w:hAnsi="Times New Roman" w:cs="Times New Roman"/>
          <w:sz w:val="24"/>
        </w:rPr>
        <w:t>analyzed</w:t>
      </w:r>
      <w:r w:rsidRPr="00E959FA">
        <w:rPr>
          <w:rFonts w:ascii="Times New Roman" w:eastAsia="Times New Roman" w:hAnsi="Times New Roman" w:cs="Times New Roman"/>
          <w:sz w:val="24"/>
        </w:rPr>
        <w:t xml:space="preserve"> for GENG215 and the most affected CLO was highlighted.</w:t>
      </w:r>
    </w:p>
    <w:p w14:paraId="10FA6BE6" w14:textId="77777777" w:rsidR="00B76342" w:rsidRPr="00B72E84" w:rsidRDefault="00B76342" w:rsidP="00B76342">
      <w:pPr>
        <w:spacing w:after="0" w:line="360" w:lineRule="auto"/>
        <w:jc w:val="both"/>
        <w:rPr>
          <w:rFonts w:ascii="Times New Roman" w:eastAsia="Times New Roman" w:hAnsi="Times New Roman" w:cs="Times New Roman"/>
          <w:b/>
          <w:sz w:val="28"/>
          <w:szCs w:val="28"/>
        </w:rPr>
      </w:pPr>
      <w:r w:rsidRPr="00B72E84">
        <w:rPr>
          <w:rFonts w:ascii="Times New Roman" w:eastAsia="Times New Roman" w:hAnsi="Times New Roman" w:cs="Times New Roman"/>
          <w:b/>
          <w:sz w:val="28"/>
          <w:szCs w:val="28"/>
        </w:rPr>
        <w:t>2. Methodology</w:t>
      </w:r>
    </w:p>
    <w:p w14:paraId="4BF5750F" w14:textId="4ED7A2C8" w:rsidR="00B76342" w:rsidRDefault="00B76342" w:rsidP="00FB189D">
      <w:pPr>
        <w:spacing w:after="0"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Pr="00B76342">
        <w:rPr>
          <w:rFonts w:ascii="Times New Roman" w:eastAsia="Times New Roman" w:hAnsi="Times New Roman" w:cs="Times New Roman"/>
          <w:sz w:val="24"/>
        </w:rPr>
        <w:t>The target population fo</w:t>
      </w:r>
      <w:r w:rsidR="00FB189D">
        <w:rPr>
          <w:rFonts w:ascii="Times New Roman" w:eastAsia="Times New Roman" w:hAnsi="Times New Roman" w:cs="Times New Roman"/>
          <w:sz w:val="24"/>
        </w:rPr>
        <w:t>r this study consists</w:t>
      </w:r>
      <w:r w:rsidRPr="00B76342">
        <w:rPr>
          <w:rFonts w:ascii="Times New Roman" w:eastAsia="Times New Roman" w:hAnsi="Times New Roman" w:cs="Times New Roman"/>
          <w:sz w:val="24"/>
        </w:rPr>
        <w:t xml:space="preserve"> of undergraduate students in </w:t>
      </w:r>
      <w:r w:rsidR="00FB189D">
        <w:rPr>
          <w:rFonts w:ascii="Times New Roman" w:eastAsia="Times New Roman" w:hAnsi="Times New Roman" w:cs="Times New Roman"/>
          <w:sz w:val="24"/>
        </w:rPr>
        <w:t>CE</w:t>
      </w:r>
      <w:r w:rsidRPr="00B76342">
        <w:rPr>
          <w:rFonts w:ascii="Times New Roman" w:eastAsia="Times New Roman" w:hAnsi="Times New Roman" w:cs="Times New Roman"/>
          <w:sz w:val="24"/>
        </w:rPr>
        <w:t xml:space="preserve"> at UAEU. Three courses have been considered in this study which are college requirement courses taken by all students enrolled in the </w:t>
      </w:r>
      <w:r w:rsidR="00FB189D">
        <w:rPr>
          <w:rFonts w:ascii="Times New Roman" w:eastAsia="Times New Roman" w:hAnsi="Times New Roman" w:cs="Times New Roman"/>
          <w:sz w:val="24"/>
        </w:rPr>
        <w:t>CE</w:t>
      </w:r>
      <w:r w:rsidRPr="00B76342">
        <w:rPr>
          <w:rFonts w:ascii="Times New Roman" w:eastAsia="Times New Roman" w:hAnsi="Times New Roman" w:cs="Times New Roman"/>
          <w:sz w:val="24"/>
        </w:rPr>
        <w:t>. The courses are Engineering Ethics with course code GENG</w:t>
      </w:r>
      <w:r w:rsidR="006A723D">
        <w:rPr>
          <w:rFonts w:ascii="Times New Roman" w:eastAsia="Times New Roman" w:hAnsi="Times New Roman" w:cs="Times New Roman"/>
          <w:sz w:val="24"/>
        </w:rPr>
        <w:t xml:space="preserve"> </w:t>
      </w:r>
      <w:r w:rsidRPr="00B76342">
        <w:rPr>
          <w:rFonts w:ascii="Times New Roman" w:eastAsia="Times New Roman" w:hAnsi="Times New Roman" w:cs="Times New Roman"/>
          <w:sz w:val="24"/>
        </w:rPr>
        <w:t>215, Engineering Thermodynamics with course code GENG</w:t>
      </w:r>
      <w:r w:rsidR="00FB189D">
        <w:rPr>
          <w:rFonts w:ascii="Times New Roman" w:eastAsia="Times New Roman" w:hAnsi="Times New Roman" w:cs="Times New Roman"/>
          <w:sz w:val="24"/>
        </w:rPr>
        <w:t xml:space="preserve"> </w:t>
      </w:r>
      <w:r w:rsidRPr="00B76342">
        <w:rPr>
          <w:rFonts w:ascii="Times New Roman" w:eastAsia="Times New Roman" w:hAnsi="Times New Roman" w:cs="Times New Roman"/>
          <w:sz w:val="24"/>
        </w:rPr>
        <w:t>220, and Engineering Economics with course code GENG</w:t>
      </w:r>
      <w:r w:rsidR="006A723D">
        <w:rPr>
          <w:rFonts w:ascii="Times New Roman" w:eastAsia="Times New Roman" w:hAnsi="Times New Roman" w:cs="Times New Roman"/>
          <w:sz w:val="24"/>
        </w:rPr>
        <w:t xml:space="preserve"> </w:t>
      </w:r>
      <w:r w:rsidRPr="00B76342">
        <w:rPr>
          <w:rFonts w:ascii="Times New Roman" w:eastAsia="Times New Roman" w:hAnsi="Times New Roman" w:cs="Times New Roman"/>
          <w:sz w:val="24"/>
        </w:rPr>
        <w:t>315. The GENG</w:t>
      </w:r>
      <w:r w:rsidR="006A723D">
        <w:rPr>
          <w:rFonts w:ascii="Times New Roman" w:eastAsia="Times New Roman" w:hAnsi="Times New Roman" w:cs="Times New Roman"/>
          <w:sz w:val="24"/>
        </w:rPr>
        <w:t xml:space="preserve"> </w:t>
      </w:r>
      <w:r w:rsidRPr="00B76342">
        <w:rPr>
          <w:rFonts w:ascii="Times New Roman" w:eastAsia="Times New Roman" w:hAnsi="Times New Roman" w:cs="Times New Roman"/>
          <w:sz w:val="24"/>
        </w:rPr>
        <w:t xml:space="preserve">215 as a set of moral principles that relate to Engineering projects and designs. The course explores creative ways of reconciling conflicting moral claims. It outlines the responsibilities of </w:t>
      </w:r>
      <w:r w:rsidR="00FB189D">
        <w:rPr>
          <w:rFonts w:ascii="Times New Roman" w:eastAsia="Times New Roman" w:hAnsi="Times New Roman" w:cs="Times New Roman"/>
          <w:sz w:val="24"/>
        </w:rPr>
        <w:t>e</w:t>
      </w:r>
      <w:r w:rsidRPr="00B76342">
        <w:rPr>
          <w:rFonts w:ascii="Times New Roman" w:eastAsia="Times New Roman" w:hAnsi="Times New Roman" w:cs="Times New Roman"/>
          <w:sz w:val="24"/>
        </w:rPr>
        <w:t>ngineers towards public safety and the environment, within economic constraints and governing laws. The GENG 220 deals with the basic thermo-physical properties of pure substances and gases with the introduction to the first law of thermodynamics, conservation of energy, and closed and open systems. The second law of thermodynamics and entropy are also introduced in this course. The GENG</w:t>
      </w:r>
      <w:r w:rsidR="006A723D">
        <w:rPr>
          <w:rFonts w:ascii="Times New Roman" w:eastAsia="Times New Roman" w:hAnsi="Times New Roman" w:cs="Times New Roman"/>
          <w:sz w:val="24"/>
        </w:rPr>
        <w:t xml:space="preserve"> </w:t>
      </w:r>
      <w:r w:rsidRPr="00B76342">
        <w:rPr>
          <w:rFonts w:ascii="Times New Roman" w:eastAsia="Times New Roman" w:hAnsi="Times New Roman" w:cs="Times New Roman"/>
          <w:sz w:val="24"/>
        </w:rPr>
        <w:t>315 is related to the basic concepts and principles of engineering economics. Familiarization of the different cost components, cost estimation techniques, cash flow analysis, time value of money, and measures of project performance. [https://eng.uaeu.ac.ae/en/departments/eru/courses.shtml]</w:t>
      </w:r>
      <w:r>
        <w:rPr>
          <w:rFonts w:ascii="Times New Roman" w:eastAsia="Times New Roman" w:hAnsi="Times New Roman" w:cs="Times New Roman"/>
          <w:sz w:val="24"/>
        </w:rPr>
        <w:t>.</w:t>
      </w:r>
    </w:p>
    <w:p w14:paraId="54D6A9DF" w14:textId="41215CBA" w:rsidR="00B76342" w:rsidRPr="00B76342" w:rsidRDefault="00B76342" w:rsidP="00B76342">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B76342">
        <w:rPr>
          <w:rFonts w:ascii="Times New Roman" w:eastAsia="Times New Roman" w:hAnsi="Times New Roman" w:cs="Times New Roman"/>
          <w:sz w:val="24"/>
        </w:rPr>
        <w:t>Each CLO is analyzed and direct and indirect results are reported for each section taught for the considered courses. The attainment target is reached for 70% of enrolled students with score 70% or higher in summative assessment tools. Table 1 contains the CLOs for each considered course. The assessment report for each course contains the following points:</w:t>
      </w:r>
    </w:p>
    <w:p w14:paraId="4A3FAEDF" w14:textId="77777777" w:rsidR="00B76342" w:rsidRPr="00B76342" w:rsidRDefault="00B76342" w:rsidP="00B76342">
      <w:pPr>
        <w:numPr>
          <w:ilvl w:val="0"/>
          <w:numId w:val="9"/>
        </w:numPr>
        <w:spacing w:after="0"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The CLO attainment results and analysis remarks</w:t>
      </w:r>
    </w:p>
    <w:p w14:paraId="08247935" w14:textId="77777777" w:rsidR="00B76342" w:rsidRPr="00B76342" w:rsidRDefault="00B76342" w:rsidP="00B76342">
      <w:pPr>
        <w:numPr>
          <w:ilvl w:val="0"/>
          <w:numId w:val="9"/>
        </w:numPr>
        <w:spacing w:after="0"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General comments on any problems encountered with the course</w:t>
      </w:r>
    </w:p>
    <w:p w14:paraId="7A4A91B6" w14:textId="77777777" w:rsidR="00B76342" w:rsidRPr="00B76342" w:rsidRDefault="00B76342" w:rsidP="00B76342">
      <w:pPr>
        <w:numPr>
          <w:ilvl w:val="0"/>
          <w:numId w:val="9"/>
        </w:numPr>
        <w:spacing w:after="0"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Recommendations</w:t>
      </w:r>
    </w:p>
    <w:p w14:paraId="78E12A44" w14:textId="50BE8AF3" w:rsidR="00B76342" w:rsidRPr="00B76342" w:rsidRDefault="00B76342" w:rsidP="00B76342">
      <w:pPr>
        <w:pStyle w:val="ListParagraph"/>
        <w:numPr>
          <w:ilvl w:val="0"/>
          <w:numId w:val="9"/>
        </w:numPr>
        <w:spacing w:after="0" w:line="360" w:lineRule="auto"/>
        <w:jc w:val="both"/>
        <w:rPr>
          <w:rFonts w:ascii="Times New Roman" w:eastAsia="Times New Roman" w:hAnsi="Times New Roman" w:cs="Times New Roman"/>
          <w:b/>
          <w:sz w:val="24"/>
        </w:rPr>
      </w:pPr>
      <w:r w:rsidRPr="00B76342">
        <w:rPr>
          <w:rFonts w:ascii="Times New Roman" w:eastAsia="Times New Roman" w:hAnsi="Times New Roman" w:cs="Times New Roman"/>
          <w:sz w:val="24"/>
        </w:rPr>
        <w:t>Implementation of recommendation actions</w:t>
      </w:r>
      <w:r>
        <w:rPr>
          <w:rFonts w:ascii="Times New Roman" w:eastAsia="Times New Roman" w:hAnsi="Times New Roman" w:cs="Times New Roman"/>
          <w:sz w:val="24"/>
        </w:rPr>
        <w:t>.</w:t>
      </w:r>
    </w:p>
    <w:p w14:paraId="172E62BC" w14:textId="3C269238" w:rsidR="00B76342" w:rsidRDefault="00B76342" w:rsidP="00B76342">
      <w:pPr>
        <w:spacing w:after="0" w:line="360" w:lineRule="auto"/>
        <w:ind w:firstLine="720"/>
        <w:jc w:val="center"/>
        <w:rPr>
          <w:rFonts w:ascii="Times New Roman" w:eastAsia="Times New Roman" w:hAnsi="Times New Roman" w:cs="Times New Roman"/>
          <w:sz w:val="24"/>
        </w:rPr>
      </w:pPr>
      <w:r>
        <w:rPr>
          <w:rFonts w:ascii="Times New Roman" w:hAnsi="Times New Roman" w:cs="Times New Roman"/>
          <w:b/>
          <w:sz w:val="24"/>
          <w:szCs w:val="24"/>
        </w:rPr>
        <w:t>Table 1:</w:t>
      </w:r>
      <w:r w:rsidRPr="004C483D">
        <w:rPr>
          <w:rFonts w:ascii="Times New Roman" w:hAnsi="Times New Roman" w:cs="Times New Roman"/>
          <w:b/>
          <w:sz w:val="24"/>
          <w:szCs w:val="24"/>
        </w:rPr>
        <w:t xml:space="preserve"> </w:t>
      </w:r>
      <w:r w:rsidRPr="00B76342">
        <w:rPr>
          <w:rFonts w:ascii="Times New Roman" w:hAnsi="Times New Roman" w:cs="Times New Roman"/>
          <w:i/>
          <w:sz w:val="24"/>
          <w:szCs w:val="24"/>
        </w:rPr>
        <w:t>Course Learning Outcomes for each course</w:t>
      </w:r>
    </w:p>
    <w:tbl>
      <w:tblPr>
        <w:tblStyle w:val="TableGrid"/>
        <w:tblW w:w="0" w:type="auto"/>
        <w:tblLook w:val="04A0" w:firstRow="1" w:lastRow="0" w:firstColumn="1" w:lastColumn="0" w:noHBand="0" w:noVBand="1"/>
      </w:tblPr>
      <w:tblGrid>
        <w:gridCol w:w="1243"/>
        <w:gridCol w:w="857"/>
        <w:gridCol w:w="7250"/>
      </w:tblGrid>
      <w:tr w:rsidR="00B76342" w:rsidRPr="00B76342" w14:paraId="7FEF6EB9" w14:textId="77777777" w:rsidTr="00B76342">
        <w:tc>
          <w:tcPr>
            <w:tcW w:w="1243" w:type="dxa"/>
          </w:tcPr>
          <w:p w14:paraId="7E94D77A" w14:textId="77777777" w:rsidR="00B76342" w:rsidRPr="00D34BC9" w:rsidRDefault="00B76342" w:rsidP="00B76342">
            <w:pPr>
              <w:spacing w:line="360" w:lineRule="auto"/>
              <w:jc w:val="both"/>
              <w:rPr>
                <w:rFonts w:ascii="Times New Roman" w:eastAsia="Times New Roman" w:hAnsi="Times New Roman" w:cs="Times New Roman"/>
                <w:b/>
                <w:bCs/>
                <w:sz w:val="24"/>
              </w:rPr>
            </w:pPr>
            <w:r w:rsidRPr="00D34BC9">
              <w:rPr>
                <w:rFonts w:ascii="Times New Roman" w:eastAsia="Times New Roman" w:hAnsi="Times New Roman" w:cs="Times New Roman"/>
                <w:b/>
                <w:bCs/>
                <w:sz w:val="24"/>
              </w:rPr>
              <w:t>Courses</w:t>
            </w:r>
          </w:p>
        </w:tc>
        <w:tc>
          <w:tcPr>
            <w:tcW w:w="816" w:type="dxa"/>
          </w:tcPr>
          <w:p w14:paraId="2F1B507E" w14:textId="77777777" w:rsidR="00B76342" w:rsidRPr="00D34BC9" w:rsidRDefault="00B76342" w:rsidP="00B76342">
            <w:pPr>
              <w:spacing w:line="360" w:lineRule="auto"/>
              <w:jc w:val="both"/>
              <w:rPr>
                <w:rFonts w:ascii="Times New Roman" w:eastAsia="Times New Roman" w:hAnsi="Times New Roman" w:cs="Times New Roman"/>
                <w:b/>
                <w:bCs/>
                <w:sz w:val="24"/>
              </w:rPr>
            </w:pPr>
            <w:r w:rsidRPr="00D34BC9">
              <w:rPr>
                <w:rFonts w:ascii="Times New Roman" w:eastAsia="Times New Roman" w:hAnsi="Times New Roman" w:cs="Times New Roman"/>
                <w:b/>
                <w:bCs/>
                <w:sz w:val="24"/>
              </w:rPr>
              <w:t>CLO#</w:t>
            </w:r>
          </w:p>
        </w:tc>
        <w:tc>
          <w:tcPr>
            <w:tcW w:w="7517" w:type="dxa"/>
          </w:tcPr>
          <w:p w14:paraId="45EBBE46" w14:textId="77777777" w:rsidR="00B76342" w:rsidRPr="00D34BC9" w:rsidRDefault="00B76342" w:rsidP="00B76342">
            <w:pPr>
              <w:spacing w:line="360" w:lineRule="auto"/>
              <w:jc w:val="both"/>
              <w:rPr>
                <w:rFonts w:ascii="Times New Roman" w:eastAsia="Times New Roman" w:hAnsi="Times New Roman" w:cs="Times New Roman"/>
                <w:b/>
                <w:bCs/>
                <w:sz w:val="24"/>
              </w:rPr>
            </w:pPr>
            <w:r w:rsidRPr="00D34BC9">
              <w:rPr>
                <w:rFonts w:ascii="Times New Roman" w:eastAsia="Times New Roman" w:hAnsi="Times New Roman" w:cs="Times New Roman"/>
                <w:b/>
                <w:bCs/>
                <w:sz w:val="24"/>
              </w:rPr>
              <w:t>CLO statement</w:t>
            </w:r>
          </w:p>
        </w:tc>
      </w:tr>
      <w:tr w:rsidR="00B76342" w:rsidRPr="00B76342" w14:paraId="0CD47695" w14:textId="77777777" w:rsidTr="00B76342">
        <w:tc>
          <w:tcPr>
            <w:tcW w:w="1243" w:type="dxa"/>
            <w:vMerge w:val="restart"/>
          </w:tcPr>
          <w:p w14:paraId="1F77B39C" w14:textId="77777777" w:rsidR="00B76342" w:rsidRPr="00B76342" w:rsidRDefault="00B76342" w:rsidP="00B76342">
            <w:pPr>
              <w:spacing w:line="360" w:lineRule="auto"/>
              <w:jc w:val="both"/>
              <w:rPr>
                <w:rFonts w:ascii="Times New Roman" w:eastAsia="Times New Roman" w:hAnsi="Times New Roman" w:cs="Times New Roman"/>
                <w:sz w:val="24"/>
              </w:rPr>
            </w:pPr>
          </w:p>
          <w:p w14:paraId="4E3219A6" w14:textId="77777777" w:rsidR="00B76342" w:rsidRPr="00B76342" w:rsidRDefault="00B76342" w:rsidP="00B76342">
            <w:pPr>
              <w:spacing w:line="360" w:lineRule="auto"/>
              <w:jc w:val="both"/>
              <w:rPr>
                <w:rFonts w:ascii="Times New Roman" w:eastAsia="Times New Roman" w:hAnsi="Times New Roman" w:cs="Times New Roman"/>
                <w:sz w:val="24"/>
              </w:rPr>
            </w:pPr>
          </w:p>
          <w:p w14:paraId="730ED50F" w14:textId="77777777" w:rsidR="00B76342" w:rsidRPr="00B76342" w:rsidRDefault="00B76342" w:rsidP="00B76342">
            <w:pPr>
              <w:spacing w:line="360" w:lineRule="auto"/>
              <w:jc w:val="both"/>
              <w:rPr>
                <w:rFonts w:ascii="Times New Roman" w:eastAsia="Times New Roman" w:hAnsi="Times New Roman" w:cs="Times New Roman"/>
                <w:sz w:val="24"/>
              </w:rPr>
            </w:pPr>
          </w:p>
          <w:p w14:paraId="1B10A5E6" w14:textId="77777777" w:rsidR="00B76342" w:rsidRPr="00B76342" w:rsidRDefault="00B76342" w:rsidP="00B76342">
            <w:pPr>
              <w:spacing w:line="360" w:lineRule="auto"/>
              <w:jc w:val="both"/>
              <w:rPr>
                <w:rFonts w:ascii="Times New Roman" w:eastAsia="Times New Roman" w:hAnsi="Times New Roman" w:cs="Times New Roman"/>
                <w:sz w:val="24"/>
              </w:rPr>
            </w:pPr>
          </w:p>
          <w:p w14:paraId="68B92F5C" w14:textId="77777777" w:rsidR="00B76342" w:rsidRPr="00B76342" w:rsidRDefault="00B76342" w:rsidP="00B76342">
            <w:pPr>
              <w:spacing w:line="360" w:lineRule="auto"/>
              <w:jc w:val="both"/>
              <w:rPr>
                <w:rFonts w:ascii="Times New Roman" w:eastAsia="Times New Roman" w:hAnsi="Times New Roman" w:cs="Times New Roman"/>
                <w:sz w:val="24"/>
              </w:rPr>
            </w:pPr>
          </w:p>
          <w:p w14:paraId="235ACF37"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GENG215</w:t>
            </w:r>
          </w:p>
        </w:tc>
        <w:tc>
          <w:tcPr>
            <w:tcW w:w="816" w:type="dxa"/>
          </w:tcPr>
          <w:p w14:paraId="6DCC2EF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1</w:t>
            </w:r>
          </w:p>
        </w:tc>
        <w:tc>
          <w:tcPr>
            <w:tcW w:w="7517" w:type="dxa"/>
          </w:tcPr>
          <w:p w14:paraId="4D31DC1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Identify ethical and professional issues pertaining to personal integrity, and professional conduct pertaining to the society and the environment</w:t>
            </w:r>
          </w:p>
        </w:tc>
      </w:tr>
      <w:tr w:rsidR="00B76342" w:rsidRPr="00B76342" w14:paraId="4BC56C08" w14:textId="77777777" w:rsidTr="00B76342">
        <w:tc>
          <w:tcPr>
            <w:tcW w:w="1243" w:type="dxa"/>
            <w:vMerge/>
          </w:tcPr>
          <w:p w14:paraId="4DD5F603"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244BC0A9"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2</w:t>
            </w:r>
          </w:p>
        </w:tc>
        <w:tc>
          <w:tcPr>
            <w:tcW w:w="7517" w:type="dxa"/>
          </w:tcPr>
          <w:p w14:paraId="092AD8A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Recognize an engineering ethical dilemma and apply a systematic process of moral and ethical reasoning to resolve it</w:t>
            </w:r>
          </w:p>
        </w:tc>
      </w:tr>
      <w:tr w:rsidR="00B76342" w:rsidRPr="00B76342" w14:paraId="1542A627" w14:textId="77777777" w:rsidTr="00B76342">
        <w:tc>
          <w:tcPr>
            <w:tcW w:w="1243" w:type="dxa"/>
            <w:vMerge/>
          </w:tcPr>
          <w:p w14:paraId="6FCE5D0C"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5AD49603"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3</w:t>
            </w:r>
          </w:p>
        </w:tc>
        <w:tc>
          <w:tcPr>
            <w:tcW w:w="7517" w:type="dxa"/>
          </w:tcPr>
          <w:p w14:paraId="288BC649" w14:textId="0BAD9B09" w:rsidR="00B76342" w:rsidRPr="00B76342" w:rsidRDefault="00FB1246"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Analyse</w:t>
            </w:r>
            <w:r w:rsidR="00B76342" w:rsidRPr="00B76342">
              <w:rPr>
                <w:rFonts w:ascii="Times New Roman" w:eastAsia="Times New Roman" w:hAnsi="Times New Roman" w:cs="Times New Roman"/>
                <w:sz w:val="24"/>
              </w:rPr>
              <w:t xml:space="preserve"> several moral theories and principles (e.g., utilitarianism, duty ethics, virtue ethics, and religious ethics) and apply them to the examination of ethical issues in engineering</w:t>
            </w:r>
          </w:p>
        </w:tc>
      </w:tr>
      <w:tr w:rsidR="00B76342" w:rsidRPr="00B76342" w14:paraId="62CD6737" w14:textId="77777777" w:rsidTr="00B76342">
        <w:tc>
          <w:tcPr>
            <w:tcW w:w="1243" w:type="dxa"/>
            <w:vMerge/>
          </w:tcPr>
          <w:p w14:paraId="38ECF285"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7520B5AD"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4</w:t>
            </w:r>
          </w:p>
        </w:tc>
        <w:tc>
          <w:tcPr>
            <w:tcW w:w="7517" w:type="dxa"/>
          </w:tcPr>
          <w:p w14:paraId="02E69421" w14:textId="264BC57B" w:rsidR="00B76342" w:rsidRPr="00B76342" w:rsidRDefault="00FB1246"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Analyse</w:t>
            </w:r>
            <w:r w:rsidR="00B76342" w:rsidRPr="00B76342">
              <w:rPr>
                <w:rFonts w:ascii="Times New Roman" w:eastAsia="Times New Roman" w:hAnsi="Times New Roman" w:cs="Times New Roman"/>
                <w:sz w:val="24"/>
              </w:rPr>
              <w:t xml:space="preserve"> case studies of conflict in Engineering and make choices based on engineering ethics codes and apply one to the resolution of an ethical dilemma</w:t>
            </w:r>
          </w:p>
        </w:tc>
      </w:tr>
      <w:tr w:rsidR="00B76342" w:rsidRPr="00B76342" w14:paraId="7973C8F4" w14:textId="77777777" w:rsidTr="00B76342">
        <w:tc>
          <w:tcPr>
            <w:tcW w:w="1243" w:type="dxa"/>
            <w:vMerge/>
          </w:tcPr>
          <w:p w14:paraId="7CFD8FC8"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2681E498"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5</w:t>
            </w:r>
          </w:p>
        </w:tc>
        <w:tc>
          <w:tcPr>
            <w:tcW w:w="7517" w:type="dxa"/>
          </w:tcPr>
          <w:p w14:paraId="602B5549"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Identify the value of teamwork and multi-discipline work in relation to types and scales of projects through assignments and group projects</w:t>
            </w:r>
          </w:p>
        </w:tc>
      </w:tr>
      <w:tr w:rsidR="00B76342" w:rsidRPr="00B76342" w14:paraId="33A7F174" w14:textId="77777777" w:rsidTr="00B76342">
        <w:tc>
          <w:tcPr>
            <w:tcW w:w="1243" w:type="dxa"/>
            <w:vMerge/>
          </w:tcPr>
          <w:p w14:paraId="69F12702"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637266FE"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6</w:t>
            </w:r>
          </w:p>
        </w:tc>
        <w:tc>
          <w:tcPr>
            <w:tcW w:w="7517" w:type="dxa"/>
          </w:tcPr>
          <w:p w14:paraId="36E6145C"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Apply the design process using systematic design methods and identify the related professional responsibilities and ethical issues</w:t>
            </w:r>
          </w:p>
        </w:tc>
      </w:tr>
      <w:tr w:rsidR="00B76342" w:rsidRPr="00B76342" w14:paraId="23E7B072" w14:textId="77777777" w:rsidTr="00B76342">
        <w:tc>
          <w:tcPr>
            <w:tcW w:w="1243" w:type="dxa"/>
            <w:vMerge w:val="restart"/>
          </w:tcPr>
          <w:p w14:paraId="4CE6B56C" w14:textId="77777777" w:rsidR="00B76342" w:rsidRPr="00B76342" w:rsidRDefault="00B76342" w:rsidP="00B76342">
            <w:pPr>
              <w:spacing w:line="360" w:lineRule="auto"/>
              <w:jc w:val="both"/>
              <w:rPr>
                <w:rFonts w:ascii="Times New Roman" w:eastAsia="Times New Roman" w:hAnsi="Times New Roman" w:cs="Times New Roman"/>
                <w:sz w:val="24"/>
              </w:rPr>
            </w:pPr>
          </w:p>
          <w:p w14:paraId="49CAD89C" w14:textId="77777777" w:rsidR="00B76342" w:rsidRPr="00B76342" w:rsidRDefault="00B76342" w:rsidP="00B76342">
            <w:pPr>
              <w:spacing w:line="360" w:lineRule="auto"/>
              <w:jc w:val="both"/>
              <w:rPr>
                <w:rFonts w:ascii="Times New Roman" w:eastAsia="Times New Roman" w:hAnsi="Times New Roman" w:cs="Times New Roman"/>
                <w:sz w:val="24"/>
              </w:rPr>
            </w:pPr>
          </w:p>
          <w:p w14:paraId="05E4B37D" w14:textId="77777777" w:rsidR="00B76342" w:rsidRPr="00B76342" w:rsidRDefault="00B76342" w:rsidP="00B76342">
            <w:pPr>
              <w:spacing w:line="360" w:lineRule="auto"/>
              <w:jc w:val="both"/>
              <w:rPr>
                <w:rFonts w:ascii="Times New Roman" w:eastAsia="Times New Roman" w:hAnsi="Times New Roman" w:cs="Times New Roman"/>
                <w:sz w:val="24"/>
              </w:rPr>
            </w:pPr>
          </w:p>
          <w:p w14:paraId="31C67B95"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GENG220</w:t>
            </w:r>
          </w:p>
        </w:tc>
        <w:tc>
          <w:tcPr>
            <w:tcW w:w="816" w:type="dxa"/>
          </w:tcPr>
          <w:p w14:paraId="267FCD4F"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1</w:t>
            </w:r>
          </w:p>
        </w:tc>
        <w:tc>
          <w:tcPr>
            <w:tcW w:w="7517" w:type="dxa"/>
          </w:tcPr>
          <w:p w14:paraId="0FF422CC"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basic concepts of macroscopic thermodynamics</w:t>
            </w:r>
          </w:p>
        </w:tc>
      </w:tr>
      <w:tr w:rsidR="00B76342" w:rsidRPr="00B76342" w14:paraId="42C03C42" w14:textId="77777777" w:rsidTr="00B76342">
        <w:tc>
          <w:tcPr>
            <w:tcW w:w="1243" w:type="dxa"/>
            <w:vMerge/>
          </w:tcPr>
          <w:p w14:paraId="0A68D212"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724FA90B"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2</w:t>
            </w:r>
          </w:p>
        </w:tc>
        <w:tc>
          <w:tcPr>
            <w:tcW w:w="7517" w:type="dxa"/>
          </w:tcPr>
          <w:p w14:paraId="75150726"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properties of pure substances</w:t>
            </w:r>
          </w:p>
        </w:tc>
      </w:tr>
      <w:tr w:rsidR="00B76342" w:rsidRPr="00B76342" w14:paraId="0A15D1EC" w14:textId="77777777" w:rsidTr="00B76342">
        <w:tc>
          <w:tcPr>
            <w:tcW w:w="1243" w:type="dxa"/>
            <w:vMerge/>
          </w:tcPr>
          <w:p w14:paraId="63D488C4"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6B8FAA68"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3</w:t>
            </w:r>
          </w:p>
        </w:tc>
        <w:tc>
          <w:tcPr>
            <w:tcW w:w="7517" w:type="dxa"/>
          </w:tcPr>
          <w:p w14:paraId="0189448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heat transfer and work interaction between a system and its surroundings</w:t>
            </w:r>
          </w:p>
        </w:tc>
      </w:tr>
      <w:tr w:rsidR="00B76342" w:rsidRPr="00B76342" w14:paraId="0D64F238" w14:textId="77777777" w:rsidTr="00B76342">
        <w:tc>
          <w:tcPr>
            <w:tcW w:w="1243" w:type="dxa"/>
            <w:vMerge/>
          </w:tcPr>
          <w:p w14:paraId="02230209"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1411D433"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4</w:t>
            </w:r>
          </w:p>
        </w:tc>
        <w:tc>
          <w:tcPr>
            <w:tcW w:w="7517" w:type="dxa"/>
          </w:tcPr>
          <w:p w14:paraId="0B0657DA"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Apply the first law of thermodynamics for closed and open systems</w:t>
            </w:r>
          </w:p>
        </w:tc>
      </w:tr>
      <w:tr w:rsidR="00B76342" w:rsidRPr="00B76342" w14:paraId="483612D7" w14:textId="77777777" w:rsidTr="00B76342">
        <w:tc>
          <w:tcPr>
            <w:tcW w:w="1243" w:type="dxa"/>
            <w:vMerge/>
          </w:tcPr>
          <w:p w14:paraId="74AD0A05"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2D6668CD"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5</w:t>
            </w:r>
          </w:p>
        </w:tc>
        <w:tc>
          <w:tcPr>
            <w:tcW w:w="7517" w:type="dxa"/>
          </w:tcPr>
          <w:p w14:paraId="4CCF4FD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and apply the Second law concepts</w:t>
            </w:r>
          </w:p>
        </w:tc>
      </w:tr>
      <w:tr w:rsidR="00B76342" w:rsidRPr="00B76342" w14:paraId="5A18BA2A" w14:textId="77777777" w:rsidTr="00B76342">
        <w:tc>
          <w:tcPr>
            <w:tcW w:w="1243" w:type="dxa"/>
            <w:vMerge/>
          </w:tcPr>
          <w:p w14:paraId="5D7D9CFE"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36FCA2C7"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6</w:t>
            </w:r>
          </w:p>
        </w:tc>
        <w:tc>
          <w:tcPr>
            <w:tcW w:w="7517" w:type="dxa"/>
          </w:tcPr>
          <w:p w14:paraId="14FD725B" w14:textId="2596F405" w:rsidR="00B76342" w:rsidRPr="00B76342" w:rsidRDefault="00FB1246"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Analyse</w:t>
            </w:r>
            <w:r w:rsidR="00B76342" w:rsidRPr="00B76342">
              <w:rPr>
                <w:rFonts w:ascii="Times New Roman" w:eastAsia="Times New Roman" w:hAnsi="Times New Roman" w:cs="Times New Roman"/>
                <w:sz w:val="24"/>
              </w:rPr>
              <w:t xml:space="preserve"> thermodynamic processes and cycles within the conceptual frameworks of the First and Second laws</w:t>
            </w:r>
          </w:p>
        </w:tc>
      </w:tr>
      <w:tr w:rsidR="00B76342" w:rsidRPr="00B76342" w14:paraId="1E393230" w14:textId="77777777" w:rsidTr="00B76342">
        <w:tc>
          <w:tcPr>
            <w:tcW w:w="1243" w:type="dxa"/>
            <w:vMerge/>
          </w:tcPr>
          <w:p w14:paraId="01AAC470"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0F3EB4BD"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7</w:t>
            </w:r>
          </w:p>
        </w:tc>
        <w:tc>
          <w:tcPr>
            <w:tcW w:w="7517" w:type="dxa"/>
          </w:tcPr>
          <w:p w14:paraId="73A8650A"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Use the Engineering Equation Solver (EES) learning tool to solve thermodynamics problems</w:t>
            </w:r>
          </w:p>
        </w:tc>
      </w:tr>
      <w:tr w:rsidR="00B76342" w:rsidRPr="00B76342" w14:paraId="6DE221BA" w14:textId="77777777" w:rsidTr="00B76342">
        <w:tc>
          <w:tcPr>
            <w:tcW w:w="1243" w:type="dxa"/>
            <w:vMerge w:val="restart"/>
          </w:tcPr>
          <w:p w14:paraId="1347112A" w14:textId="77777777" w:rsidR="00B76342" w:rsidRPr="00B76342" w:rsidRDefault="00B76342" w:rsidP="00B76342">
            <w:pPr>
              <w:spacing w:line="360" w:lineRule="auto"/>
              <w:jc w:val="both"/>
              <w:rPr>
                <w:rFonts w:ascii="Times New Roman" w:eastAsia="Times New Roman" w:hAnsi="Times New Roman" w:cs="Times New Roman"/>
                <w:sz w:val="24"/>
              </w:rPr>
            </w:pPr>
          </w:p>
          <w:p w14:paraId="286A34CD" w14:textId="77777777" w:rsidR="00B76342" w:rsidRPr="00B76342" w:rsidRDefault="00B76342" w:rsidP="00B76342">
            <w:pPr>
              <w:spacing w:line="360" w:lineRule="auto"/>
              <w:jc w:val="both"/>
              <w:rPr>
                <w:rFonts w:ascii="Times New Roman" w:eastAsia="Times New Roman" w:hAnsi="Times New Roman" w:cs="Times New Roman"/>
                <w:sz w:val="24"/>
              </w:rPr>
            </w:pPr>
          </w:p>
          <w:p w14:paraId="0D786D53" w14:textId="77777777" w:rsidR="00B76342" w:rsidRPr="00B76342" w:rsidRDefault="00B76342" w:rsidP="00B76342">
            <w:pPr>
              <w:spacing w:line="360" w:lineRule="auto"/>
              <w:jc w:val="both"/>
              <w:rPr>
                <w:rFonts w:ascii="Times New Roman" w:eastAsia="Times New Roman" w:hAnsi="Times New Roman" w:cs="Times New Roman"/>
                <w:sz w:val="24"/>
              </w:rPr>
            </w:pPr>
          </w:p>
          <w:p w14:paraId="6006BC40"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GENG315</w:t>
            </w:r>
          </w:p>
        </w:tc>
        <w:tc>
          <w:tcPr>
            <w:tcW w:w="816" w:type="dxa"/>
          </w:tcPr>
          <w:p w14:paraId="7D70DECE"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1</w:t>
            </w:r>
          </w:p>
        </w:tc>
        <w:tc>
          <w:tcPr>
            <w:tcW w:w="7517" w:type="dxa"/>
          </w:tcPr>
          <w:p w14:paraId="6E2072D4"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principles of engineering economy and the engineering economic analysis procedure</w:t>
            </w:r>
          </w:p>
        </w:tc>
      </w:tr>
      <w:tr w:rsidR="00B76342" w:rsidRPr="00B76342" w14:paraId="6277AF17" w14:textId="77777777" w:rsidTr="00B76342">
        <w:tc>
          <w:tcPr>
            <w:tcW w:w="1243" w:type="dxa"/>
            <w:vMerge/>
          </w:tcPr>
          <w:p w14:paraId="1734E05F"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62906378"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2</w:t>
            </w:r>
          </w:p>
        </w:tc>
        <w:tc>
          <w:tcPr>
            <w:tcW w:w="7517" w:type="dxa"/>
          </w:tcPr>
          <w:p w14:paraId="5844CCF5"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Describe some of the basic cost terminology and concepts used in engineering practice</w:t>
            </w:r>
          </w:p>
        </w:tc>
      </w:tr>
      <w:tr w:rsidR="00B76342" w:rsidRPr="00B76342" w14:paraId="386C901D" w14:textId="77777777" w:rsidTr="00B76342">
        <w:tc>
          <w:tcPr>
            <w:tcW w:w="1243" w:type="dxa"/>
            <w:vMerge/>
          </w:tcPr>
          <w:p w14:paraId="2484E843"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19CF2331"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3</w:t>
            </w:r>
          </w:p>
        </w:tc>
        <w:tc>
          <w:tcPr>
            <w:tcW w:w="7517" w:type="dxa"/>
          </w:tcPr>
          <w:p w14:paraId="3A85C1E7"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concept of price demand relationship</w:t>
            </w:r>
          </w:p>
        </w:tc>
      </w:tr>
      <w:tr w:rsidR="00B76342" w:rsidRPr="00B76342" w14:paraId="6F1FA633" w14:textId="77777777" w:rsidTr="00B76342">
        <w:tc>
          <w:tcPr>
            <w:tcW w:w="1243" w:type="dxa"/>
            <w:vMerge/>
          </w:tcPr>
          <w:p w14:paraId="37E1702B"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5E98EDF9"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4</w:t>
            </w:r>
          </w:p>
        </w:tc>
        <w:tc>
          <w:tcPr>
            <w:tcW w:w="7517" w:type="dxa"/>
          </w:tcPr>
          <w:p w14:paraId="2BEE46D2"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Describe the different techniques used for cost estimation</w:t>
            </w:r>
          </w:p>
        </w:tc>
      </w:tr>
      <w:tr w:rsidR="00B76342" w:rsidRPr="00B76342" w14:paraId="56CA5B1E" w14:textId="77777777" w:rsidTr="00B76342">
        <w:tc>
          <w:tcPr>
            <w:tcW w:w="1243" w:type="dxa"/>
            <w:vMerge/>
          </w:tcPr>
          <w:p w14:paraId="2C37F069"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790EA59D"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5</w:t>
            </w:r>
          </w:p>
        </w:tc>
        <w:tc>
          <w:tcPr>
            <w:tcW w:w="7517" w:type="dxa"/>
          </w:tcPr>
          <w:p w14:paraId="41F45E16"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concept of the time value of money</w:t>
            </w:r>
          </w:p>
        </w:tc>
      </w:tr>
      <w:tr w:rsidR="00B76342" w:rsidRPr="00B76342" w14:paraId="054A89DF" w14:textId="77777777" w:rsidTr="00B76342">
        <w:tc>
          <w:tcPr>
            <w:tcW w:w="1243" w:type="dxa"/>
            <w:vMerge/>
          </w:tcPr>
          <w:p w14:paraId="2C1661AB"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71ADB9CE"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6</w:t>
            </w:r>
          </w:p>
        </w:tc>
        <w:tc>
          <w:tcPr>
            <w:tcW w:w="7517" w:type="dxa"/>
          </w:tcPr>
          <w:p w14:paraId="30BE0820"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Evaluate a single project and select among alternative project options</w:t>
            </w:r>
          </w:p>
        </w:tc>
      </w:tr>
      <w:tr w:rsidR="00B76342" w:rsidRPr="00B76342" w14:paraId="45544C23" w14:textId="77777777" w:rsidTr="00B76342">
        <w:tc>
          <w:tcPr>
            <w:tcW w:w="1243" w:type="dxa"/>
            <w:vMerge/>
          </w:tcPr>
          <w:p w14:paraId="1797E61D" w14:textId="77777777" w:rsidR="00B76342" w:rsidRPr="00B76342" w:rsidRDefault="00B76342" w:rsidP="00B76342">
            <w:pPr>
              <w:spacing w:line="360" w:lineRule="auto"/>
              <w:jc w:val="both"/>
              <w:rPr>
                <w:rFonts w:ascii="Times New Roman" w:eastAsia="Times New Roman" w:hAnsi="Times New Roman" w:cs="Times New Roman"/>
                <w:sz w:val="24"/>
              </w:rPr>
            </w:pPr>
          </w:p>
        </w:tc>
        <w:tc>
          <w:tcPr>
            <w:tcW w:w="816" w:type="dxa"/>
          </w:tcPr>
          <w:p w14:paraId="39639F8E"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7</w:t>
            </w:r>
          </w:p>
        </w:tc>
        <w:tc>
          <w:tcPr>
            <w:tcW w:w="7517" w:type="dxa"/>
          </w:tcPr>
          <w:p w14:paraId="3DECED31" w14:textId="77777777" w:rsidR="00B76342" w:rsidRPr="00B76342" w:rsidRDefault="00B76342" w:rsidP="00B76342">
            <w:pPr>
              <w:spacing w:line="360" w:lineRule="auto"/>
              <w:jc w:val="both"/>
              <w:rPr>
                <w:rFonts w:ascii="Times New Roman" w:eastAsia="Times New Roman" w:hAnsi="Times New Roman" w:cs="Times New Roman"/>
                <w:sz w:val="24"/>
              </w:rPr>
            </w:pPr>
            <w:r w:rsidRPr="00B76342">
              <w:rPr>
                <w:rFonts w:ascii="Times New Roman" w:eastAsia="Times New Roman" w:hAnsi="Times New Roman" w:cs="Times New Roman"/>
                <w:sz w:val="24"/>
              </w:rPr>
              <w:t>Explain the concepts of entrepreneurship and discuss different elements of a business plan</w:t>
            </w:r>
          </w:p>
        </w:tc>
      </w:tr>
    </w:tbl>
    <w:p w14:paraId="7B9A8B4D" w14:textId="77777777" w:rsidR="00B76342" w:rsidRDefault="00B76342" w:rsidP="00B76342">
      <w:pPr>
        <w:spacing w:after="0" w:line="360" w:lineRule="auto"/>
        <w:jc w:val="both"/>
        <w:rPr>
          <w:rFonts w:ascii="Times New Roman" w:eastAsia="Times New Roman" w:hAnsi="Times New Roman" w:cs="Times New Roman"/>
          <w:sz w:val="24"/>
        </w:rPr>
      </w:pPr>
    </w:p>
    <w:p w14:paraId="453F7A8A" w14:textId="794BD827" w:rsidR="00B76342" w:rsidRPr="00B72E84" w:rsidRDefault="00B76342" w:rsidP="00B76342">
      <w:pPr>
        <w:spacing w:after="0" w:line="360" w:lineRule="auto"/>
        <w:jc w:val="both"/>
        <w:rPr>
          <w:rFonts w:ascii="Times New Roman" w:eastAsia="Times New Roman" w:hAnsi="Times New Roman" w:cs="Times New Roman"/>
          <w:b/>
          <w:sz w:val="28"/>
          <w:szCs w:val="28"/>
        </w:rPr>
      </w:pPr>
      <w:r w:rsidRPr="00B72E84">
        <w:rPr>
          <w:rFonts w:ascii="Times New Roman" w:eastAsia="Times New Roman" w:hAnsi="Times New Roman" w:cs="Times New Roman"/>
          <w:b/>
          <w:sz w:val="28"/>
          <w:szCs w:val="28"/>
        </w:rPr>
        <w:t>3. Data Collection and Analysis</w:t>
      </w:r>
    </w:p>
    <w:p w14:paraId="6DB049C6" w14:textId="2D654D53" w:rsidR="00B76342" w:rsidRPr="00D34BC9" w:rsidRDefault="00D34BC9" w:rsidP="006A723D">
      <w:pPr>
        <w:spacing w:after="0" w:line="360" w:lineRule="auto"/>
        <w:jc w:val="both"/>
        <w:rPr>
          <w:rFonts w:ascii="Times New Roman" w:eastAsia="Times New Roman" w:hAnsi="Times New Roman" w:cs="Times New Roman"/>
          <w:bCs/>
          <w:sz w:val="24"/>
        </w:rPr>
      </w:pPr>
      <w:r>
        <w:rPr>
          <w:rFonts w:ascii="Times New Roman" w:eastAsia="Times New Roman" w:hAnsi="Times New Roman" w:cs="Times New Roman"/>
          <w:b/>
          <w:sz w:val="24"/>
        </w:rPr>
        <w:tab/>
      </w:r>
      <w:r w:rsidRPr="00D34BC9">
        <w:rPr>
          <w:rFonts w:ascii="Times New Roman" w:eastAsia="Times New Roman" w:hAnsi="Times New Roman" w:cs="Times New Roman"/>
          <w:bCs/>
          <w:sz w:val="24"/>
        </w:rPr>
        <w:t>Table 2 summarizes the learning outcomes for each ERU course taken by AE students which have been analyzed in term of level of achievement and compared with the overall achievements at the college levels including all programs. Indeed, some of the CLOs for the GENG</w:t>
      </w:r>
      <w:r w:rsidR="006A723D">
        <w:rPr>
          <w:rFonts w:ascii="Times New Roman" w:eastAsia="Times New Roman" w:hAnsi="Times New Roman" w:cs="Times New Roman"/>
          <w:bCs/>
          <w:sz w:val="24"/>
        </w:rPr>
        <w:t xml:space="preserve"> </w:t>
      </w:r>
      <w:r w:rsidRPr="00D34BC9">
        <w:rPr>
          <w:rFonts w:ascii="Times New Roman" w:eastAsia="Times New Roman" w:hAnsi="Times New Roman" w:cs="Times New Roman"/>
          <w:bCs/>
          <w:sz w:val="24"/>
        </w:rPr>
        <w:t>215 and GENG</w:t>
      </w:r>
      <w:r w:rsidR="006A723D">
        <w:rPr>
          <w:rFonts w:ascii="Times New Roman" w:eastAsia="Times New Roman" w:hAnsi="Times New Roman" w:cs="Times New Roman"/>
          <w:bCs/>
          <w:sz w:val="24"/>
        </w:rPr>
        <w:t xml:space="preserve"> </w:t>
      </w:r>
      <w:r w:rsidRPr="00D34BC9">
        <w:rPr>
          <w:rFonts w:ascii="Times New Roman" w:eastAsia="Times New Roman" w:hAnsi="Times New Roman" w:cs="Times New Roman"/>
          <w:bCs/>
          <w:sz w:val="24"/>
        </w:rPr>
        <w:t>220 are below the attainment level (70%) for the students enrolled in AE program. Although 69% attainment</w:t>
      </w:r>
      <w:r w:rsidR="006A723D">
        <w:rPr>
          <w:rFonts w:ascii="Times New Roman" w:eastAsia="Times New Roman" w:hAnsi="Times New Roman" w:cs="Times New Roman"/>
          <w:bCs/>
          <w:sz w:val="24"/>
        </w:rPr>
        <w:t xml:space="preserve"> is registered</w:t>
      </w:r>
      <w:r w:rsidRPr="00D34BC9">
        <w:rPr>
          <w:rFonts w:ascii="Times New Roman" w:eastAsia="Times New Roman" w:hAnsi="Times New Roman" w:cs="Times New Roman"/>
          <w:bCs/>
          <w:sz w:val="24"/>
        </w:rPr>
        <w:t xml:space="preserve"> in CLO2 by AE students in fall 2019</w:t>
      </w:r>
      <w:r w:rsidR="006A723D">
        <w:rPr>
          <w:rFonts w:ascii="Times New Roman" w:eastAsia="Times New Roman" w:hAnsi="Times New Roman" w:cs="Times New Roman"/>
          <w:bCs/>
          <w:sz w:val="24"/>
        </w:rPr>
        <w:t>,</w:t>
      </w:r>
      <w:r w:rsidRPr="00D34BC9">
        <w:rPr>
          <w:rFonts w:ascii="Times New Roman" w:eastAsia="Times New Roman" w:hAnsi="Times New Roman" w:cs="Times New Roman"/>
          <w:bCs/>
          <w:sz w:val="24"/>
        </w:rPr>
        <w:t xml:space="preserve"> the rest of the CLOs attainments are higher than the threshold and are comparable to the overall achievements at the college levels. The AE students’ performance are below 70% for CLOs 3 and 5 in GENG</w:t>
      </w:r>
      <w:r w:rsidR="006A723D">
        <w:rPr>
          <w:rFonts w:ascii="Times New Roman" w:eastAsia="Times New Roman" w:hAnsi="Times New Roman" w:cs="Times New Roman"/>
          <w:bCs/>
          <w:sz w:val="24"/>
        </w:rPr>
        <w:t xml:space="preserve"> </w:t>
      </w:r>
      <w:r w:rsidRPr="00D34BC9">
        <w:rPr>
          <w:rFonts w:ascii="Times New Roman" w:eastAsia="Times New Roman" w:hAnsi="Times New Roman" w:cs="Times New Roman"/>
          <w:bCs/>
          <w:sz w:val="24"/>
        </w:rPr>
        <w:t>220 which are related to the knowledge of heat transfer and the second law concept</w:t>
      </w:r>
      <w:r w:rsidR="006A723D">
        <w:rPr>
          <w:rFonts w:ascii="Times New Roman" w:eastAsia="Times New Roman" w:hAnsi="Times New Roman" w:cs="Times New Roman"/>
          <w:bCs/>
          <w:sz w:val="24"/>
        </w:rPr>
        <w:t>,</w:t>
      </w:r>
      <w:r w:rsidRPr="00D34BC9">
        <w:rPr>
          <w:rFonts w:ascii="Times New Roman" w:eastAsia="Times New Roman" w:hAnsi="Times New Roman" w:cs="Times New Roman"/>
          <w:bCs/>
          <w:sz w:val="24"/>
        </w:rPr>
        <w:t xml:space="preserve"> respectively. On the other hand the overall students at the </w:t>
      </w:r>
      <w:r w:rsidR="006A723D">
        <w:rPr>
          <w:rFonts w:ascii="Times New Roman" w:eastAsia="Times New Roman" w:hAnsi="Times New Roman" w:cs="Times New Roman"/>
          <w:bCs/>
          <w:sz w:val="24"/>
        </w:rPr>
        <w:t>CE</w:t>
      </w:r>
      <w:r w:rsidRPr="00D34BC9">
        <w:rPr>
          <w:rFonts w:ascii="Times New Roman" w:eastAsia="Times New Roman" w:hAnsi="Times New Roman" w:cs="Times New Roman"/>
          <w:bCs/>
          <w:sz w:val="24"/>
        </w:rPr>
        <w:t xml:space="preserve"> registered low attainments for the </w:t>
      </w:r>
      <w:r w:rsidR="006A723D">
        <w:rPr>
          <w:rFonts w:ascii="Times New Roman" w:eastAsia="Times New Roman" w:hAnsi="Times New Roman" w:cs="Times New Roman"/>
          <w:bCs/>
          <w:sz w:val="24"/>
        </w:rPr>
        <w:t xml:space="preserve">both same </w:t>
      </w:r>
      <w:r w:rsidRPr="00D34BC9">
        <w:rPr>
          <w:rFonts w:ascii="Times New Roman" w:eastAsia="Times New Roman" w:hAnsi="Times New Roman" w:cs="Times New Roman"/>
          <w:bCs/>
          <w:sz w:val="24"/>
        </w:rPr>
        <w:t>CLOs which could have explained either by the complexity of the assessments tools related to the CLOs or by the non-adequacy of the tools used to assess the</w:t>
      </w:r>
      <w:r w:rsidR="006A723D">
        <w:rPr>
          <w:rFonts w:ascii="Times New Roman" w:eastAsia="Times New Roman" w:hAnsi="Times New Roman" w:cs="Times New Roman"/>
          <w:bCs/>
          <w:sz w:val="24"/>
        </w:rPr>
        <w:t>se</w:t>
      </w:r>
      <w:r w:rsidRPr="00D34BC9">
        <w:rPr>
          <w:rFonts w:ascii="Times New Roman" w:eastAsia="Times New Roman" w:hAnsi="Times New Roman" w:cs="Times New Roman"/>
          <w:bCs/>
          <w:sz w:val="24"/>
        </w:rPr>
        <w:t xml:space="preserve"> CLOs. In the same course low attainments are registered in three CLOs by the AE students in fall 2020. The attainment levels are 62, 62 and 65 for CLO1, CLO3, and CLO4</w:t>
      </w:r>
      <w:r w:rsidR="006A723D">
        <w:rPr>
          <w:rFonts w:ascii="Times New Roman" w:eastAsia="Times New Roman" w:hAnsi="Times New Roman" w:cs="Times New Roman"/>
          <w:bCs/>
          <w:sz w:val="24"/>
        </w:rPr>
        <w:t>,</w:t>
      </w:r>
      <w:r w:rsidRPr="00D34BC9">
        <w:rPr>
          <w:rFonts w:ascii="Times New Roman" w:eastAsia="Times New Roman" w:hAnsi="Times New Roman" w:cs="Times New Roman"/>
          <w:bCs/>
          <w:sz w:val="24"/>
        </w:rPr>
        <w:t xml:space="preserve"> respectively. One of the main reason of such drawback in the attainment levels of the three CLOs is due to the online classes offered in the fall 2020 which represent a challenge for both instructors and students.</w:t>
      </w:r>
      <w:r w:rsidR="006A723D">
        <w:rPr>
          <w:rFonts w:ascii="Times New Roman" w:eastAsia="Times New Roman" w:hAnsi="Times New Roman" w:cs="Times New Roman"/>
          <w:bCs/>
          <w:sz w:val="24"/>
        </w:rPr>
        <w:t xml:space="preserve"> Indeed, t</w:t>
      </w:r>
      <w:r w:rsidR="006A723D" w:rsidRPr="006A723D">
        <w:rPr>
          <w:rFonts w:ascii="Times New Roman" w:eastAsia="Times New Roman" w:hAnsi="Times New Roman" w:cs="Times New Roman"/>
          <w:bCs/>
          <w:sz w:val="24"/>
        </w:rPr>
        <w:t>he students and instructors were not that prepared to tackle different situations, opportunities, and problems associated with the online scenario.</w:t>
      </w:r>
    </w:p>
    <w:p w14:paraId="792DAE08" w14:textId="390B37DA" w:rsidR="00B72E84" w:rsidRPr="00B72E84" w:rsidRDefault="00B72E84" w:rsidP="00B72E84">
      <w:pPr>
        <w:spacing w:after="0" w:line="360" w:lineRule="auto"/>
        <w:jc w:val="center"/>
        <w:rPr>
          <w:rFonts w:ascii="Times New Roman" w:eastAsia="Times New Roman" w:hAnsi="Times New Roman" w:cs="Times New Roman"/>
          <w:sz w:val="24"/>
        </w:rPr>
      </w:pPr>
      <w:r w:rsidRPr="00B72E84">
        <w:rPr>
          <w:rFonts w:ascii="Times New Roman" w:eastAsia="Times New Roman" w:hAnsi="Times New Roman" w:cs="Times New Roman"/>
          <w:b/>
          <w:sz w:val="24"/>
        </w:rPr>
        <w:t xml:space="preserve">Table </w:t>
      </w:r>
      <w:r>
        <w:rPr>
          <w:rFonts w:ascii="Times New Roman" w:eastAsia="Times New Roman" w:hAnsi="Times New Roman" w:cs="Times New Roman"/>
          <w:b/>
          <w:sz w:val="24"/>
        </w:rPr>
        <w:t>2</w:t>
      </w:r>
      <w:r w:rsidRPr="00B72E84">
        <w:rPr>
          <w:rFonts w:ascii="Times New Roman" w:eastAsia="Times New Roman" w:hAnsi="Times New Roman" w:cs="Times New Roman"/>
          <w:b/>
          <w:sz w:val="24"/>
        </w:rPr>
        <w:t xml:space="preserve">: </w:t>
      </w:r>
      <w:r>
        <w:rPr>
          <w:rFonts w:ascii="Times New Roman" w:eastAsia="Times New Roman" w:hAnsi="Times New Roman" w:cs="Times New Roman"/>
          <w:bCs/>
          <w:i/>
          <w:sz w:val="24"/>
        </w:rPr>
        <w:t>L</w:t>
      </w:r>
      <w:r w:rsidRPr="00B72E84">
        <w:rPr>
          <w:rFonts w:ascii="Times New Roman" w:eastAsia="Times New Roman" w:hAnsi="Times New Roman" w:cs="Times New Roman"/>
          <w:bCs/>
          <w:i/>
          <w:sz w:val="24"/>
        </w:rPr>
        <w:t xml:space="preserve">evel of achievement </w:t>
      </w:r>
      <w:r>
        <w:rPr>
          <w:rFonts w:ascii="Times New Roman" w:eastAsia="Times New Roman" w:hAnsi="Times New Roman" w:cs="Times New Roman"/>
          <w:bCs/>
          <w:i/>
          <w:sz w:val="24"/>
        </w:rPr>
        <w:t>of CLOs for each ERU course</w:t>
      </w:r>
    </w:p>
    <w:tbl>
      <w:tblPr>
        <w:tblStyle w:val="TableGrid"/>
        <w:tblW w:w="0" w:type="auto"/>
        <w:tblLook w:val="04A0" w:firstRow="1" w:lastRow="0" w:firstColumn="1" w:lastColumn="0" w:noHBand="0" w:noVBand="1"/>
      </w:tblPr>
      <w:tblGrid>
        <w:gridCol w:w="1243"/>
        <w:gridCol w:w="1228"/>
        <w:gridCol w:w="1070"/>
        <w:gridCol w:w="679"/>
        <w:gridCol w:w="680"/>
        <w:gridCol w:w="679"/>
        <w:gridCol w:w="680"/>
        <w:gridCol w:w="680"/>
        <w:gridCol w:w="636"/>
        <w:gridCol w:w="666"/>
        <w:gridCol w:w="1109"/>
      </w:tblGrid>
      <w:tr w:rsidR="00275F35" w:rsidRPr="00D34BC9" w14:paraId="61002F72" w14:textId="77777777" w:rsidTr="00275F35">
        <w:tc>
          <w:tcPr>
            <w:tcW w:w="1243" w:type="dxa"/>
            <w:vMerge w:val="restart"/>
          </w:tcPr>
          <w:p w14:paraId="0F76835A" w14:textId="77777777" w:rsidR="00275F35" w:rsidRPr="00D34BC9" w:rsidRDefault="00275F35" w:rsidP="00D34BC9">
            <w:pPr>
              <w:spacing w:line="360" w:lineRule="auto"/>
              <w:jc w:val="both"/>
              <w:rPr>
                <w:rFonts w:ascii="Times New Roman" w:eastAsia="Times New Roman" w:hAnsi="Times New Roman" w:cs="Times New Roman"/>
                <w:sz w:val="24"/>
              </w:rPr>
            </w:pPr>
          </w:p>
        </w:tc>
        <w:tc>
          <w:tcPr>
            <w:tcW w:w="1228" w:type="dxa"/>
            <w:vMerge w:val="restart"/>
          </w:tcPr>
          <w:p w14:paraId="64D1AF12" w14:textId="77777777" w:rsidR="00275F35" w:rsidRDefault="00275F35" w:rsidP="0031208C">
            <w:pPr>
              <w:spacing w:line="360" w:lineRule="auto"/>
              <w:jc w:val="center"/>
              <w:rPr>
                <w:rFonts w:ascii="Times New Roman" w:eastAsia="Times New Roman" w:hAnsi="Times New Roman" w:cs="Times New Roman"/>
                <w:b/>
                <w:bCs/>
                <w:sz w:val="24"/>
              </w:rPr>
            </w:pPr>
          </w:p>
          <w:p w14:paraId="5099BE67" w14:textId="00D775DF" w:rsidR="00275F35" w:rsidRPr="00D34BC9" w:rsidRDefault="00275F35" w:rsidP="0031208C">
            <w:pPr>
              <w:spacing w:line="360" w:lineRule="auto"/>
              <w:jc w:val="center"/>
              <w:rPr>
                <w:rFonts w:ascii="Times New Roman" w:eastAsia="Times New Roman" w:hAnsi="Times New Roman" w:cs="Times New Roman"/>
                <w:b/>
                <w:bCs/>
                <w:sz w:val="24"/>
              </w:rPr>
            </w:pPr>
            <w:r w:rsidRPr="00D34BC9">
              <w:rPr>
                <w:rFonts w:ascii="Times New Roman" w:eastAsia="Times New Roman" w:hAnsi="Times New Roman" w:cs="Times New Roman"/>
                <w:b/>
                <w:bCs/>
                <w:sz w:val="24"/>
              </w:rPr>
              <w:t>Major</w:t>
            </w:r>
          </w:p>
        </w:tc>
        <w:tc>
          <w:tcPr>
            <w:tcW w:w="1070" w:type="dxa"/>
            <w:vMerge w:val="restart"/>
          </w:tcPr>
          <w:p w14:paraId="352A63CA" w14:textId="77777777" w:rsidR="00275F35" w:rsidRPr="00D34BC9" w:rsidRDefault="00275F35" w:rsidP="0031208C">
            <w:pPr>
              <w:spacing w:line="360" w:lineRule="auto"/>
              <w:jc w:val="center"/>
              <w:rPr>
                <w:rFonts w:ascii="Times New Roman" w:eastAsia="Times New Roman" w:hAnsi="Times New Roman" w:cs="Times New Roman"/>
                <w:b/>
                <w:bCs/>
                <w:sz w:val="24"/>
              </w:rPr>
            </w:pPr>
            <w:r w:rsidRPr="00D34BC9">
              <w:rPr>
                <w:rFonts w:ascii="Times New Roman" w:eastAsia="Times New Roman" w:hAnsi="Times New Roman" w:cs="Times New Roman"/>
                <w:b/>
                <w:bCs/>
                <w:sz w:val="24"/>
              </w:rPr>
              <w:t>Number of students</w:t>
            </w:r>
          </w:p>
        </w:tc>
        <w:tc>
          <w:tcPr>
            <w:tcW w:w="4700" w:type="dxa"/>
            <w:gridSpan w:val="7"/>
          </w:tcPr>
          <w:p w14:paraId="36430537" w14:textId="77777777" w:rsidR="00275F35" w:rsidRPr="00D34BC9" w:rsidRDefault="00275F35" w:rsidP="0031208C">
            <w:pPr>
              <w:spacing w:line="360" w:lineRule="auto"/>
              <w:jc w:val="center"/>
              <w:rPr>
                <w:rFonts w:ascii="Times New Roman" w:eastAsia="Times New Roman" w:hAnsi="Times New Roman" w:cs="Times New Roman"/>
                <w:b/>
                <w:bCs/>
                <w:sz w:val="24"/>
              </w:rPr>
            </w:pPr>
            <w:r w:rsidRPr="00D34BC9">
              <w:rPr>
                <w:rFonts w:ascii="Times New Roman" w:eastAsia="Times New Roman" w:hAnsi="Times New Roman" w:cs="Times New Roman"/>
                <w:b/>
                <w:bCs/>
                <w:sz w:val="24"/>
              </w:rPr>
              <w:t>CLO# [%]</w:t>
            </w:r>
          </w:p>
        </w:tc>
        <w:tc>
          <w:tcPr>
            <w:tcW w:w="1109" w:type="dxa"/>
            <w:vMerge w:val="restart"/>
          </w:tcPr>
          <w:p w14:paraId="1F45D7AC" w14:textId="77777777" w:rsidR="00275F35" w:rsidRDefault="00275F35" w:rsidP="0031208C">
            <w:pPr>
              <w:spacing w:line="360" w:lineRule="auto"/>
              <w:jc w:val="center"/>
              <w:rPr>
                <w:rFonts w:ascii="Times New Roman" w:eastAsia="Times New Roman" w:hAnsi="Times New Roman" w:cs="Times New Roman"/>
                <w:b/>
                <w:bCs/>
                <w:sz w:val="24"/>
              </w:rPr>
            </w:pPr>
          </w:p>
          <w:p w14:paraId="442BD7BC" w14:textId="60B873F8" w:rsidR="00275F35" w:rsidRPr="00D34BC9" w:rsidRDefault="00275F35" w:rsidP="0031208C">
            <w:pPr>
              <w:spacing w:line="360" w:lineRule="auto"/>
              <w:jc w:val="center"/>
              <w:rPr>
                <w:rFonts w:ascii="Times New Roman" w:eastAsia="Times New Roman" w:hAnsi="Times New Roman" w:cs="Times New Roman"/>
                <w:b/>
                <w:bCs/>
                <w:sz w:val="24"/>
              </w:rPr>
            </w:pPr>
            <w:r w:rsidRPr="00D34BC9">
              <w:rPr>
                <w:rFonts w:ascii="Times New Roman" w:eastAsia="Times New Roman" w:hAnsi="Times New Roman" w:cs="Times New Roman"/>
                <w:b/>
                <w:bCs/>
                <w:sz w:val="24"/>
              </w:rPr>
              <w:t>semester</w:t>
            </w:r>
          </w:p>
        </w:tc>
      </w:tr>
      <w:tr w:rsidR="00275F35" w:rsidRPr="00D34BC9" w14:paraId="5DD3D78E" w14:textId="77777777" w:rsidTr="00275F35">
        <w:tc>
          <w:tcPr>
            <w:tcW w:w="1243" w:type="dxa"/>
            <w:vMerge/>
          </w:tcPr>
          <w:p w14:paraId="5F2914AF" w14:textId="77777777" w:rsidR="00275F35" w:rsidRPr="00D34BC9" w:rsidRDefault="00275F35" w:rsidP="00D34BC9">
            <w:pPr>
              <w:spacing w:line="360" w:lineRule="auto"/>
              <w:jc w:val="both"/>
              <w:rPr>
                <w:rFonts w:ascii="Times New Roman" w:eastAsia="Times New Roman" w:hAnsi="Times New Roman" w:cs="Times New Roman"/>
                <w:sz w:val="24"/>
              </w:rPr>
            </w:pPr>
          </w:p>
        </w:tc>
        <w:tc>
          <w:tcPr>
            <w:tcW w:w="1228" w:type="dxa"/>
            <w:vMerge/>
          </w:tcPr>
          <w:p w14:paraId="460B6979" w14:textId="77777777" w:rsidR="00275F35" w:rsidRPr="00D34BC9" w:rsidRDefault="00275F35" w:rsidP="0031208C">
            <w:pPr>
              <w:spacing w:line="360" w:lineRule="auto"/>
              <w:jc w:val="center"/>
              <w:rPr>
                <w:rFonts w:ascii="Times New Roman" w:eastAsia="Times New Roman" w:hAnsi="Times New Roman" w:cs="Times New Roman"/>
                <w:sz w:val="24"/>
              </w:rPr>
            </w:pPr>
          </w:p>
        </w:tc>
        <w:tc>
          <w:tcPr>
            <w:tcW w:w="1070" w:type="dxa"/>
            <w:vMerge/>
          </w:tcPr>
          <w:p w14:paraId="3EDA1003" w14:textId="77777777" w:rsidR="00275F35" w:rsidRPr="00D34BC9" w:rsidRDefault="00275F35" w:rsidP="0031208C">
            <w:pPr>
              <w:spacing w:line="360" w:lineRule="auto"/>
              <w:jc w:val="center"/>
              <w:rPr>
                <w:rFonts w:ascii="Times New Roman" w:eastAsia="Times New Roman" w:hAnsi="Times New Roman" w:cs="Times New Roman"/>
                <w:sz w:val="24"/>
              </w:rPr>
            </w:pPr>
          </w:p>
        </w:tc>
        <w:tc>
          <w:tcPr>
            <w:tcW w:w="679" w:type="dxa"/>
          </w:tcPr>
          <w:p w14:paraId="4EA520C0"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1</w:t>
            </w:r>
          </w:p>
        </w:tc>
        <w:tc>
          <w:tcPr>
            <w:tcW w:w="680" w:type="dxa"/>
          </w:tcPr>
          <w:p w14:paraId="2FE6418A"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2</w:t>
            </w:r>
          </w:p>
        </w:tc>
        <w:tc>
          <w:tcPr>
            <w:tcW w:w="679" w:type="dxa"/>
          </w:tcPr>
          <w:p w14:paraId="2F6D122B"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3</w:t>
            </w:r>
          </w:p>
        </w:tc>
        <w:tc>
          <w:tcPr>
            <w:tcW w:w="680" w:type="dxa"/>
          </w:tcPr>
          <w:p w14:paraId="065EB698"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4</w:t>
            </w:r>
          </w:p>
        </w:tc>
        <w:tc>
          <w:tcPr>
            <w:tcW w:w="680" w:type="dxa"/>
          </w:tcPr>
          <w:p w14:paraId="7A8F96D1"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5</w:t>
            </w:r>
          </w:p>
        </w:tc>
        <w:tc>
          <w:tcPr>
            <w:tcW w:w="636" w:type="dxa"/>
          </w:tcPr>
          <w:p w14:paraId="7199D991"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6</w:t>
            </w:r>
          </w:p>
        </w:tc>
        <w:tc>
          <w:tcPr>
            <w:tcW w:w="666" w:type="dxa"/>
          </w:tcPr>
          <w:p w14:paraId="363C8371" w14:textId="77777777" w:rsidR="00275F35" w:rsidRPr="00D34BC9" w:rsidRDefault="00275F35" w:rsidP="0031208C">
            <w:pPr>
              <w:spacing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sz w:val="24"/>
              </w:rPr>
              <w:t>7</w:t>
            </w:r>
          </w:p>
        </w:tc>
        <w:tc>
          <w:tcPr>
            <w:tcW w:w="1109" w:type="dxa"/>
            <w:vMerge/>
          </w:tcPr>
          <w:p w14:paraId="4A8B51F4" w14:textId="77777777" w:rsidR="00275F35" w:rsidRPr="00D34BC9" w:rsidRDefault="00275F35" w:rsidP="0031208C">
            <w:pPr>
              <w:spacing w:line="360" w:lineRule="auto"/>
              <w:jc w:val="center"/>
              <w:rPr>
                <w:rFonts w:ascii="Times New Roman" w:eastAsia="Times New Roman" w:hAnsi="Times New Roman" w:cs="Times New Roman"/>
                <w:sz w:val="24"/>
              </w:rPr>
            </w:pPr>
          </w:p>
        </w:tc>
      </w:tr>
      <w:tr w:rsidR="00D34BC9" w:rsidRPr="00D34BC9" w14:paraId="331C1C2D" w14:textId="77777777" w:rsidTr="00275F35">
        <w:tc>
          <w:tcPr>
            <w:tcW w:w="1243" w:type="dxa"/>
            <w:vMerge w:val="restart"/>
          </w:tcPr>
          <w:p w14:paraId="23013B3A" w14:textId="77777777" w:rsidR="00D34BC9" w:rsidRPr="00D34BC9" w:rsidRDefault="00D34BC9" w:rsidP="0031208C">
            <w:pPr>
              <w:spacing w:line="360" w:lineRule="auto"/>
              <w:rPr>
                <w:rFonts w:ascii="Times New Roman" w:eastAsia="Times New Roman" w:hAnsi="Times New Roman" w:cs="Times New Roman"/>
                <w:sz w:val="24"/>
              </w:rPr>
            </w:pPr>
          </w:p>
          <w:p w14:paraId="0149F558" w14:textId="77777777" w:rsidR="00D34BC9" w:rsidRPr="00D34BC9" w:rsidRDefault="00D34BC9" w:rsidP="0031208C">
            <w:pPr>
              <w:spacing w:line="360" w:lineRule="auto"/>
              <w:rPr>
                <w:rFonts w:ascii="Times New Roman" w:eastAsia="Times New Roman" w:hAnsi="Times New Roman" w:cs="Times New Roman"/>
                <w:sz w:val="24"/>
              </w:rPr>
            </w:pPr>
          </w:p>
          <w:p w14:paraId="0D55D935" w14:textId="77777777" w:rsidR="00D34BC9" w:rsidRPr="00D34BC9" w:rsidRDefault="00D34BC9" w:rsidP="0031208C">
            <w:pPr>
              <w:spacing w:line="360" w:lineRule="auto"/>
              <w:rPr>
                <w:rFonts w:ascii="Times New Roman" w:eastAsia="Times New Roman" w:hAnsi="Times New Roman" w:cs="Times New Roman"/>
                <w:sz w:val="24"/>
              </w:rPr>
            </w:pPr>
          </w:p>
          <w:p w14:paraId="317A8E7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GENG215</w:t>
            </w:r>
          </w:p>
        </w:tc>
        <w:tc>
          <w:tcPr>
            <w:tcW w:w="1228" w:type="dxa"/>
          </w:tcPr>
          <w:p w14:paraId="45B9144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684BFF8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13</w:t>
            </w:r>
          </w:p>
        </w:tc>
        <w:tc>
          <w:tcPr>
            <w:tcW w:w="679" w:type="dxa"/>
          </w:tcPr>
          <w:p w14:paraId="4697FA9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72</w:t>
            </w:r>
          </w:p>
        </w:tc>
        <w:tc>
          <w:tcPr>
            <w:tcW w:w="680" w:type="dxa"/>
          </w:tcPr>
          <w:p w14:paraId="4F759DC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69</w:t>
            </w:r>
          </w:p>
        </w:tc>
        <w:tc>
          <w:tcPr>
            <w:tcW w:w="679" w:type="dxa"/>
          </w:tcPr>
          <w:p w14:paraId="6E324E6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80" w:type="dxa"/>
          </w:tcPr>
          <w:p w14:paraId="1AF6BC5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w:t>
            </w:r>
          </w:p>
        </w:tc>
        <w:tc>
          <w:tcPr>
            <w:tcW w:w="680" w:type="dxa"/>
          </w:tcPr>
          <w:p w14:paraId="06A3C68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98</w:t>
            </w:r>
          </w:p>
        </w:tc>
        <w:tc>
          <w:tcPr>
            <w:tcW w:w="636" w:type="dxa"/>
          </w:tcPr>
          <w:p w14:paraId="5404AF2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w:t>
            </w:r>
          </w:p>
        </w:tc>
        <w:tc>
          <w:tcPr>
            <w:tcW w:w="666" w:type="dxa"/>
          </w:tcPr>
          <w:p w14:paraId="52BFE074"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val="restart"/>
          </w:tcPr>
          <w:p w14:paraId="26129CF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2019</w:t>
            </w:r>
          </w:p>
        </w:tc>
      </w:tr>
      <w:tr w:rsidR="00D34BC9" w:rsidRPr="00D34BC9" w14:paraId="59016B2E" w14:textId="77777777" w:rsidTr="00275F35">
        <w:tc>
          <w:tcPr>
            <w:tcW w:w="1243" w:type="dxa"/>
            <w:vMerge/>
          </w:tcPr>
          <w:p w14:paraId="5871B487"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1D27722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0D52936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230</w:t>
            </w:r>
          </w:p>
        </w:tc>
        <w:tc>
          <w:tcPr>
            <w:tcW w:w="679" w:type="dxa"/>
          </w:tcPr>
          <w:p w14:paraId="33EE162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75.2</w:t>
            </w:r>
          </w:p>
        </w:tc>
        <w:tc>
          <w:tcPr>
            <w:tcW w:w="680" w:type="dxa"/>
          </w:tcPr>
          <w:p w14:paraId="4FD4F5C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74</w:t>
            </w:r>
          </w:p>
        </w:tc>
        <w:tc>
          <w:tcPr>
            <w:tcW w:w="679" w:type="dxa"/>
          </w:tcPr>
          <w:p w14:paraId="37E535F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80.2</w:t>
            </w:r>
          </w:p>
        </w:tc>
        <w:tc>
          <w:tcPr>
            <w:tcW w:w="680" w:type="dxa"/>
          </w:tcPr>
          <w:p w14:paraId="6F5550A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82.4</w:t>
            </w:r>
          </w:p>
        </w:tc>
        <w:tc>
          <w:tcPr>
            <w:tcW w:w="680" w:type="dxa"/>
          </w:tcPr>
          <w:p w14:paraId="3703E86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93.5</w:t>
            </w:r>
          </w:p>
        </w:tc>
        <w:tc>
          <w:tcPr>
            <w:tcW w:w="636" w:type="dxa"/>
          </w:tcPr>
          <w:p w14:paraId="2BF80AF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83</w:t>
            </w:r>
          </w:p>
        </w:tc>
        <w:tc>
          <w:tcPr>
            <w:tcW w:w="666" w:type="dxa"/>
          </w:tcPr>
          <w:p w14:paraId="65C8909F"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tcPr>
          <w:p w14:paraId="5A611221"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31ED0C52" w14:textId="77777777" w:rsidTr="00275F35">
        <w:tc>
          <w:tcPr>
            <w:tcW w:w="1243" w:type="dxa"/>
            <w:vMerge/>
          </w:tcPr>
          <w:p w14:paraId="2679B2D5"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25CE572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77F2D28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17</w:t>
            </w:r>
          </w:p>
        </w:tc>
        <w:tc>
          <w:tcPr>
            <w:tcW w:w="679" w:type="dxa"/>
          </w:tcPr>
          <w:p w14:paraId="398370F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86</w:t>
            </w:r>
          </w:p>
        </w:tc>
        <w:tc>
          <w:tcPr>
            <w:tcW w:w="680" w:type="dxa"/>
          </w:tcPr>
          <w:p w14:paraId="0290969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84</w:t>
            </w:r>
          </w:p>
        </w:tc>
        <w:tc>
          <w:tcPr>
            <w:tcW w:w="679" w:type="dxa"/>
          </w:tcPr>
          <w:p w14:paraId="7FEE95F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89</w:t>
            </w:r>
          </w:p>
        </w:tc>
        <w:tc>
          <w:tcPr>
            <w:tcW w:w="680" w:type="dxa"/>
          </w:tcPr>
          <w:p w14:paraId="7EFC26E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80" w:type="dxa"/>
          </w:tcPr>
          <w:p w14:paraId="2A6C8A2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36" w:type="dxa"/>
          </w:tcPr>
          <w:p w14:paraId="20FC390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90</w:t>
            </w:r>
          </w:p>
        </w:tc>
        <w:tc>
          <w:tcPr>
            <w:tcW w:w="666" w:type="dxa"/>
          </w:tcPr>
          <w:p w14:paraId="0725ADD9"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val="restart"/>
          </w:tcPr>
          <w:p w14:paraId="4B8B168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2020</w:t>
            </w:r>
          </w:p>
        </w:tc>
      </w:tr>
      <w:tr w:rsidR="00D34BC9" w:rsidRPr="00D34BC9" w14:paraId="572212BB" w14:textId="77777777" w:rsidTr="00275F35">
        <w:tc>
          <w:tcPr>
            <w:tcW w:w="1243" w:type="dxa"/>
            <w:vMerge/>
          </w:tcPr>
          <w:p w14:paraId="6DFE6B3F"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5465385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4A2F1D2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256</w:t>
            </w:r>
          </w:p>
        </w:tc>
        <w:tc>
          <w:tcPr>
            <w:tcW w:w="679" w:type="dxa"/>
          </w:tcPr>
          <w:p w14:paraId="0C7F0A5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81.7</w:t>
            </w:r>
          </w:p>
        </w:tc>
        <w:tc>
          <w:tcPr>
            <w:tcW w:w="680" w:type="dxa"/>
          </w:tcPr>
          <w:p w14:paraId="00BC478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84</w:t>
            </w:r>
          </w:p>
        </w:tc>
        <w:tc>
          <w:tcPr>
            <w:tcW w:w="679" w:type="dxa"/>
          </w:tcPr>
          <w:p w14:paraId="5211E2E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82.8</w:t>
            </w:r>
          </w:p>
        </w:tc>
        <w:tc>
          <w:tcPr>
            <w:tcW w:w="680" w:type="dxa"/>
          </w:tcPr>
          <w:p w14:paraId="133AD3B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82.5</w:t>
            </w:r>
          </w:p>
        </w:tc>
        <w:tc>
          <w:tcPr>
            <w:tcW w:w="680" w:type="dxa"/>
          </w:tcPr>
          <w:p w14:paraId="52D82AC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87.8</w:t>
            </w:r>
          </w:p>
        </w:tc>
        <w:tc>
          <w:tcPr>
            <w:tcW w:w="636" w:type="dxa"/>
          </w:tcPr>
          <w:p w14:paraId="49EF043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86.3</w:t>
            </w:r>
          </w:p>
        </w:tc>
        <w:tc>
          <w:tcPr>
            <w:tcW w:w="666" w:type="dxa"/>
          </w:tcPr>
          <w:p w14:paraId="7180A018"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tcPr>
          <w:p w14:paraId="6E8A9FD1"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71D3EBB3" w14:textId="77777777" w:rsidTr="00275F35">
        <w:tc>
          <w:tcPr>
            <w:tcW w:w="1243" w:type="dxa"/>
            <w:vMerge/>
          </w:tcPr>
          <w:p w14:paraId="513568DF"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0905242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2548D0A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12</w:t>
            </w:r>
          </w:p>
        </w:tc>
        <w:tc>
          <w:tcPr>
            <w:tcW w:w="679" w:type="dxa"/>
          </w:tcPr>
          <w:p w14:paraId="75793A0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80" w:type="dxa"/>
          </w:tcPr>
          <w:p w14:paraId="46B43AE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79" w:type="dxa"/>
          </w:tcPr>
          <w:p w14:paraId="0B45268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80" w:type="dxa"/>
          </w:tcPr>
          <w:p w14:paraId="76E31A9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680" w:type="dxa"/>
          </w:tcPr>
          <w:p w14:paraId="0180437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95</w:t>
            </w:r>
          </w:p>
        </w:tc>
        <w:tc>
          <w:tcPr>
            <w:tcW w:w="636" w:type="dxa"/>
          </w:tcPr>
          <w:p w14:paraId="30A8E4A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70</w:t>
            </w:r>
          </w:p>
        </w:tc>
        <w:tc>
          <w:tcPr>
            <w:tcW w:w="666" w:type="dxa"/>
          </w:tcPr>
          <w:p w14:paraId="5A58ABE4"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val="restart"/>
          </w:tcPr>
          <w:p w14:paraId="16C72B4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Spring 2020</w:t>
            </w:r>
          </w:p>
        </w:tc>
      </w:tr>
      <w:tr w:rsidR="00D34BC9" w:rsidRPr="00D34BC9" w14:paraId="76FFB8EF" w14:textId="77777777" w:rsidTr="00275F35">
        <w:tc>
          <w:tcPr>
            <w:tcW w:w="1243" w:type="dxa"/>
            <w:vMerge/>
          </w:tcPr>
          <w:p w14:paraId="6A0638F9"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0BC4878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0D90A63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211</w:t>
            </w:r>
          </w:p>
        </w:tc>
        <w:tc>
          <w:tcPr>
            <w:tcW w:w="679" w:type="dxa"/>
          </w:tcPr>
          <w:p w14:paraId="0145EAE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680" w:type="dxa"/>
          </w:tcPr>
          <w:p w14:paraId="7251154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79" w:type="dxa"/>
          </w:tcPr>
          <w:p w14:paraId="2BAA269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83</w:t>
            </w:r>
          </w:p>
        </w:tc>
        <w:tc>
          <w:tcPr>
            <w:tcW w:w="680" w:type="dxa"/>
          </w:tcPr>
          <w:p w14:paraId="3996BC6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80" w:type="dxa"/>
          </w:tcPr>
          <w:p w14:paraId="66C7986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92</w:t>
            </w:r>
          </w:p>
        </w:tc>
        <w:tc>
          <w:tcPr>
            <w:tcW w:w="636" w:type="dxa"/>
          </w:tcPr>
          <w:p w14:paraId="122FB75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66" w:type="dxa"/>
          </w:tcPr>
          <w:p w14:paraId="4B983B7F" w14:textId="77777777" w:rsidR="00D34BC9" w:rsidRPr="00D34BC9" w:rsidRDefault="00D34BC9" w:rsidP="0031208C">
            <w:pPr>
              <w:spacing w:line="360" w:lineRule="auto"/>
              <w:rPr>
                <w:rFonts w:ascii="Times New Roman" w:eastAsia="Times New Roman" w:hAnsi="Times New Roman" w:cs="Times New Roman"/>
                <w:sz w:val="24"/>
              </w:rPr>
            </w:pPr>
          </w:p>
        </w:tc>
        <w:tc>
          <w:tcPr>
            <w:tcW w:w="1109" w:type="dxa"/>
            <w:vMerge/>
          </w:tcPr>
          <w:p w14:paraId="2A2F6343"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38F8E4CF" w14:textId="77777777" w:rsidTr="00275F35">
        <w:tc>
          <w:tcPr>
            <w:tcW w:w="1243" w:type="dxa"/>
            <w:vMerge w:val="restart"/>
          </w:tcPr>
          <w:p w14:paraId="4B66A07C" w14:textId="77777777" w:rsidR="00D34BC9" w:rsidRPr="00D34BC9" w:rsidRDefault="00D34BC9" w:rsidP="0031208C">
            <w:pPr>
              <w:spacing w:line="360" w:lineRule="auto"/>
              <w:rPr>
                <w:rFonts w:ascii="Times New Roman" w:eastAsia="Times New Roman" w:hAnsi="Times New Roman" w:cs="Times New Roman"/>
                <w:sz w:val="24"/>
              </w:rPr>
            </w:pPr>
          </w:p>
          <w:p w14:paraId="3B279209" w14:textId="77777777" w:rsidR="00D34BC9" w:rsidRPr="00D34BC9" w:rsidRDefault="00D34BC9" w:rsidP="0031208C">
            <w:pPr>
              <w:spacing w:line="360" w:lineRule="auto"/>
              <w:rPr>
                <w:rFonts w:ascii="Times New Roman" w:eastAsia="Times New Roman" w:hAnsi="Times New Roman" w:cs="Times New Roman"/>
                <w:sz w:val="24"/>
              </w:rPr>
            </w:pPr>
          </w:p>
          <w:p w14:paraId="781A26B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GENG220</w:t>
            </w:r>
          </w:p>
        </w:tc>
        <w:tc>
          <w:tcPr>
            <w:tcW w:w="1228" w:type="dxa"/>
          </w:tcPr>
          <w:p w14:paraId="1E4BB38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593286A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28</w:t>
            </w:r>
          </w:p>
        </w:tc>
        <w:tc>
          <w:tcPr>
            <w:tcW w:w="679" w:type="dxa"/>
          </w:tcPr>
          <w:p w14:paraId="0263806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80" w:type="dxa"/>
          </w:tcPr>
          <w:p w14:paraId="3E41551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w:t>
            </w:r>
          </w:p>
        </w:tc>
        <w:tc>
          <w:tcPr>
            <w:tcW w:w="679" w:type="dxa"/>
          </w:tcPr>
          <w:p w14:paraId="6B6B431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69</w:t>
            </w:r>
          </w:p>
        </w:tc>
        <w:tc>
          <w:tcPr>
            <w:tcW w:w="680" w:type="dxa"/>
          </w:tcPr>
          <w:p w14:paraId="0CFA402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77</w:t>
            </w:r>
          </w:p>
        </w:tc>
        <w:tc>
          <w:tcPr>
            <w:tcW w:w="680" w:type="dxa"/>
          </w:tcPr>
          <w:p w14:paraId="777C980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58</w:t>
            </w:r>
          </w:p>
        </w:tc>
        <w:tc>
          <w:tcPr>
            <w:tcW w:w="636" w:type="dxa"/>
          </w:tcPr>
          <w:p w14:paraId="01E1E9D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66" w:type="dxa"/>
          </w:tcPr>
          <w:p w14:paraId="52D3A84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93</w:t>
            </w:r>
          </w:p>
        </w:tc>
        <w:tc>
          <w:tcPr>
            <w:tcW w:w="1109" w:type="dxa"/>
            <w:vMerge w:val="restart"/>
          </w:tcPr>
          <w:p w14:paraId="1CEC86B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2019</w:t>
            </w:r>
          </w:p>
        </w:tc>
      </w:tr>
      <w:tr w:rsidR="00D34BC9" w:rsidRPr="00D34BC9" w14:paraId="30E4BA25" w14:textId="77777777" w:rsidTr="00275F35">
        <w:tc>
          <w:tcPr>
            <w:tcW w:w="1243" w:type="dxa"/>
            <w:vMerge/>
          </w:tcPr>
          <w:p w14:paraId="3F6EBA3B"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15EB4BE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7ECB373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296</w:t>
            </w:r>
          </w:p>
        </w:tc>
        <w:tc>
          <w:tcPr>
            <w:tcW w:w="679" w:type="dxa"/>
          </w:tcPr>
          <w:p w14:paraId="55129E4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80" w:type="dxa"/>
          </w:tcPr>
          <w:p w14:paraId="464E434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81.4</w:t>
            </w:r>
          </w:p>
        </w:tc>
        <w:tc>
          <w:tcPr>
            <w:tcW w:w="679" w:type="dxa"/>
          </w:tcPr>
          <w:p w14:paraId="4378244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62.8</w:t>
            </w:r>
          </w:p>
        </w:tc>
        <w:tc>
          <w:tcPr>
            <w:tcW w:w="680" w:type="dxa"/>
          </w:tcPr>
          <w:p w14:paraId="7314B30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73.8</w:t>
            </w:r>
          </w:p>
        </w:tc>
        <w:tc>
          <w:tcPr>
            <w:tcW w:w="680" w:type="dxa"/>
          </w:tcPr>
          <w:p w14:paraId="7C25CBD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67.3</w:t>
            </w:r>
          </w:p>
        </w:tc>
        <w:tc>
          <w:tcPr>
            <w:tcW w:w="636" w:type="dxa"/>
          </w:tcPr>
          <w:p w14:paraId="5109FA4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72.8</w:t>
            </w:r>
          </w:p>
        </w:tc>
        <w:tc>
          <w:tcPr>
            <w:tcW w:w="666" w:type="dxa"/>
          </w:tcPr>
          <w:p w14:paraId="06D45E4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89.3</w:t>
            </w:r>
          </w:p>
        </w:tc>
        <w:tc>
          <w:tcPr>
            <w:tcW w:w="1109" w:type="dxa"/>
            <w:vMerge/>
          </w:tcPr>
          <w:p w14:paraId="1C317867"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08BE91CC" w14:textId="77777777" w:rsidTr="00275F35">
        <w:tc>
          <w:tcPr>
            <w:tcW w:w="1243" w:type="dxa"/>
            <w:vMerge/>
          </w:tcPr>
          <w:p w14:paraId="51C5F628"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328138C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226BA80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28</w:t>
            </w:r>
          </w:p>
        </w:tc>
        <w:tc>
          <w:tcPr>
            <w:tcW w:w="679" w:type="dxa"/>
          </w:tcPr>
          <w:p w14:paraId="171A9CF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80" w:type="dxa"/>
          </w:tcPr>
          <w:p w14:paraId="730489F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79" w:type="dxa"/>
          </w:tcPr>
          <w:p w14:paraId="102CD71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80" w:type="dxa"/>
          </w:tcPr>
          <w:p w14:paraId="23436C0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70</w:t>
            </w:r>
          </w:p>
        </w:tc>
        <w:tc>
          <w:tcPr>
            <w:tcW w:w="680" w:type="dxa"/>
          </w:tcPr>
          <w:p w14:paraId="6C946C5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w:t>
            </w:r>
          </w:p>
        </w:tc>
        <w:tc>
          <w:tcPr>
            <w:tcW w:w="636" w:type="dxa"/>
          </w:tcPr>
          <w:p w14:paraId="150CFBA2"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66" w:type="dxa"/>
          </w:tcPr>
          <w:p w14:paraId="2E1E27F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90</w:t>
            </w:r>
          </w:p>
        </w:tc>
        <w:tc>
          <w:tcPr>
            <w:tcW w:w="1109" w:type="dxa"/>
            <w:vMerge w:val="restart"/>
          </w:tcPr>
          <w:p w14:paraId="55F08F8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2020</w:t>
            </w:r>
          </w:p>
        </w:tc>
      </w:tr>
      <w:tr w:rsidR="00D34BC9" w:rsidRPr="00D34BC9" w14:paraId="1BF8B50D" w14:textId="77777777" w:rsidTr="00275F35">
        <w:tc>
          <w:tcPr>
            <w:tcW w:w="1243" w:type="dxa"/>
            <w:vMerge/>
          </w:tcPr>
          <w:p w14:paraId="11EC0698"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26C5B3A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0989337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218</w:t>
            </w:r>
          </w:p>
        </w:tc>
        <w:tc>
          <w:tcPr>
            <w:tcW w:w="679" w:type="dxa"/>
          </w:tcPr>
          <w:p w14:paraId="6F87CEA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79.1</w:t>
            </w:r>
          </w:p>
        </w:tc>
        <w:tc>
          <w:tcPr>
            <w:tcW w:w="680" w:type="dxa"/>
          </w:tcPr>
          <w:p w14:paraId="481054A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80.5</w:t>
            </w:r>
          </w:p>
        </w:tc>
        <w:tc>
          <w:tcPr>
            <w:tcW w:w="679" w:type="dxa"/>
          </w:tcPr>
          <w:p w14:paraId="358D7A0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73.2</w:t>
            </w:r>
          </w:p>
        </w:tc>
        <w:tc>
          <w:tcPr>
            <w:tcW w:w="680" w:type="dxa"/>
          </w:tcPr>
          <w:p w14:paraId="0F8FC1E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75.2</w:t>
            </w:r>
          </w:p>
        </w:tc>
        <w:tc>
          <w:tcPr>
            <w:tcW w:w="680" w:type="dxa"/>
          </w:tcPr>
          <w:p w14:paraId="190D8BF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90.8</w:t>
            </w:r>
          </w:p>
        </w:tc>
        <w:tc>
          <w:tcPr>
            <w:tcW w:w="636" w:type="dxa"/>
          </w:tcPr>
          <w:p w14:paraId="37BF313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85.1</w:t>
            </w:r>
          </w:p>
        </w:tc>
        <w:tc>
          <w:tcPr>
            <w:tcW w:w="666" w:type="dxa"/>
          </w:tcPr>
          <w:p w14:paraId="3CCEC99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89.2</w:t>
            </w:r>
          </w:p>
        </w:tc>
        <w:tc>
          <w:tcPr>
            <w:tcW w:w="1109" w:type="dxa"/>
            <w:vMerge/>
          </w:tcPr>
          <w:p w14:paraId="641886D0"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3263F719" w14:textId="77777777" w:rsidTr="00275F35">
        <w:tc>
          <w:tcPr>
            <w:tcW w:w="1243" w:type="dxa"/>
            <w:vMerge/>
          </w:tcPr>
          <w:p w14:paraId="2F46853F"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3F728D5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28A5191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13</w:t>
            </w:r>
          </w:p>
        </w:tc>
        <w:tc>
          <w:tcPr>
            <w:tcW w:w="679" w:type="dxa"/>
          </w:tcPr>
          <w:p w14:paraId="60BFB8E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62</w:t>
            </w:r>
          </w:p>
        </w:tc>
        <w:tc>
          <w:tcPr>
            <w:tcW w:w="680" w:type="dxa"/>
          </w:tcPr>
          <w:p w14:paraId="36256F4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74</w:t>
            </w:r>
          </w:p>
        </w:tc>
        <w:tc>
          <w:tcPr>
            <w:tcW w:w="679" w:type="dxa"/>
          </w:tcPr>
          <w:p w14:paraId="552BC0B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62</w:t>
            </w:r>
          </w:p>
        </w:tc>
        <w:tc>
          <w:tcPr>
            <w:tcW w:w="680" w:type="dxa"/>
          </w:tcPr>
          <w:p w14:paraId="0A8C8A2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65</w:t>
            </w:r>
          </w:p>
        </w:tc>
        <w:tc>
          <w:tcPr>
            <w:tcW w:w="680" w:type="dxa"/>
          </w:tcPr>
          <w:p w14:paraId="4C9D3FC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36" w:type="dxa"/>
          </w:tcPr>
          <w:p w14:paraId="47A3A86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75</w:t>
            </w:r>
          </w:p>
        </w:tc>
        <w:tc>
          <w:tcPr>
            <w:tcW w:w="666" w:type="dxa"/>
          </w:tcPr>
          <w:p w14:paraId="6C814B3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92</w:t>
            </w:r>
          </w:p>
        </w:tc>
        <w:tc>
          <w:tcPr>
            <w:tcW w:w="1109" w:type="dxa"/>
            <w:vMerge w:val="restart"/>
          </w:tcPr>
          <w:p w14:paraId="372F733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Spring 2020</w:t>
            </w:r>
          </w:p>
        </w:tc>
      </w:tr>
      <w:tr w:rsidR="00D34BC9" w:rsidRPr="00D34BC9" w14:paraId="2913B4C4" w14:textId="77777777" w:rsidTr="00275F35">
        <w:tc>
          <w:tcPr>
            <w:tcW w:w="1243" w:type="dxa"/>
            <w:vMerge/>
          </w:tcPr>
          <w:p w14:paraId="400B460F"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0B8B8E5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03E0276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182</w:t>
            </w:r>
          </w:p>
        </w:tc>
        <w:tc>
          <w:tcPr>
            <w:tcW w:w="679" w:type="dxa"/>
          </w:tcPr>
          <w:p w14:paraId="495449B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74</w:t>
            </w:r>
          </w:p>
        </w:tc>
        <w:tc>
          <w:tcPr>
            <w:tcW w:w="680" w:type="dxa"/>
          </w:tcPr>
          <w:p w14:paraId="419C231B"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w:t>
            </w:r>
          </w:p>
        </w:tc>
        <w:tc>
          <w:tcPr>
            <w:tcW w:w="679" w:type="dxa"/>
          </w:tcPr>
          <w:p w14:paraId="1DFB9CC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73</w:t>
            </w:r>
          </w:p>
        </w:tc>
        <w:tc>
          <w:tcPr>
            <w:tcW w:w="680" w:type="dxa"/>
          </w:tcPr>
          <w:p w14:paraId="58BB1DB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w:t>
            </w:r>
          </w:p>
        </w:tc>
        <w:tc>
          <w:tcPr>
            <w:tcW w:w="680" w:type="dxa"/>
          </w:tcPr>
          <w:p w14:paraId="1D6FECF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w:t>
            </w:r>
          </w:p>
        </w:tc>
        <w:tc>
          <w:tcPr>
            <w:tcW w:w="636" w:type="dxa"/>
          </w:tcPr>
          <w:p w14:paraId="69E39B3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666" w:type="dxa"/>
          </w:tcPr>
          <w:p w14:paraId="5BC7AAF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91</w:t>
            </w:r>
          </w:p>
        </w:tc>
        <w:tc>
          <w:tcPr>
            <w:tcW w:w="1109" w:type="dxa"/>
            <w:vMerge/>
          </w:tcPr>
          <w:p w14:paraId="15F66880"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70E1E7DD" w14:textId="77777777" w:rsidTr="00275F35">
        <w:tc>
          <w:tcPr>
            <w:tcW w:w="1243" w:type="dxa"/>
            <w:vMerge w:val="restart"/>
          </w:tcPr>
          <w:p w14:paraId="740A9ADE" w14:textId="77777777" w:rsidR="00D34BC9" w:rsidRPr="00D34BC9" w:rsidRDefault="00D34BC9" w:rsidP="0031208C">
            <w:pPr>
              <w:spacing w:line="360" w:lineRule="auto"/>
              <w:rPr>
                <w:rFonts w:ascii="Times New Roman" w:eastAsia="Times New Roman" w:hAnsi="Times New Roman" w:cs="Times New Roman"/>
                <w:sz w:val="24"/>
              </w:rPr>
            </w:pPr>
          </w:p>
          <w:p w14:paraId="55E4246B" w14:textId="77777777" w:rsidR="00D34BC9" w:rsidRPr="00D34BC9" w:rsidRDefault="00D34BC9" w:rsidP="0031208C">
            <w:pPr>
              <w:spacing w:line="360" w:lineRule="auto"/>
              <w:rPr>
                <w:rFonts w:ascii="Times New Roman" w:eastAsia="Times New Roman" w:hAnsi="Times New Roman" w:cs="Times New Roman"/>
                <w:sz w:val="24"/>
              </w:rPr>
            </w:pPr>
          </w:p>
          <w:p w14:paraId="2C55FAC2"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GENG315</w:t>
            </w:r>
          </w:p>
        </w:tc>
        <w:tc>
          <w:tcPr>
            <w:tcW w:w="1228" w:type="dxa"/>
          </w:tcPr>
          <w:p w14:paraId="7981AEC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7F1BF5D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19</w:t>
            </w:r>
          </w:p>
        </w:tc>
        <w:tc>
          <w:tcPr>
            <w:tcW w:w="679" w:type="dxa"/>
          </w:tcPr>
          <w:p w14:paraId="6EB4282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w:t>
            </w:r>
          </w:p>
        </w:tc>
        <w:tc>
          <w:tcPr>
            <w:tcW w:w="680" w:type="dxa"/>
          </w:tcPr>
          <w:p w14:paraId="1076412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79" w:type="dxa"/>
          </w:tcPr>
          <w:p w14:paraId="23AE6A4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72</w:t>
            </w:r>
          </w:p>
        </w:tc>
        <w:tc>
          <w:tcPr>
            <w:tcW w:w="680" w:type="dxa"/>
          </w:tcPr>
          <w:p w14:paraId="75302252"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76</w:t>
            </w:r>
          </w:p>
        </w:tc>
        <w:tc>
          <w:tcPr>
            <w:tcW w:w="680" w:type="dxa"/>
          </w:tcPr>
          <w:p w14:paraId="52A19FA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89</w:t>
            </w:r>
          </w:p>
        </w:tc>
        <w:tc>
          <w:tcPr>
            <w:tcW w:w="636" w:type="dxa"/>
          </w:tcPr>
          <w:p w14:paraId="1D76608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666" w:type="dxa"/>
          </w:tcPr>
          <w:p w14:paraId="6161B78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82</w:t>
            </w:r>
          </w:p>
        </w:tc>
        <w:tc>
          <w:tcPr>
            <w:tcW w:w="1109" w:type="dxa"/>
            <w:vMerge w:val="restart"/>
          </w:tcPr>
          <w:p w14:paraId="7CCA1DB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2019</w:t>
            </w:r>
          </w:p>
        </w:tc>
      </w:tr>
      <w:tr w:rsidR="00D34BC9" w:rsidRPr="00D34BC9" w14:paraId="028878E2" w14:textId="77777777" w:rsidTr="00275F35">
        <w:tc>
          <w:tcPr>
            <w:tcW w:w="1243" w:type="dxa"/>
            <w:vMerge/>
          </w:tcPr>
          <w:p w14:paraId="2588FE1A"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1388E5D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05E5498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229</w:t>
            </w:r>
          </w:p>
        </w:tc>
        <w:tc>
          <w:tcPr>
            <w:tcW w:w="679" w:type="dxa"/>
          </w:tcPr>
          <w:p w14:paraId="4841DE1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85.5</w:t>
            </w:r>
          </w:p>
        </w:tc>
        <w:tc>
          <w:tcPr>
            <w:tcW w:w="680" w:type="dxa"/>
          </w:tcPr>
          <w:p w14:paraId="21F2C8D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76</w:t>
            </w:r>
          </w:p>
        </w:tc>
        <w:tc>
          <w:tcPr>
            <w:tcW w:w="679" w:type="dxa"/>
          </w:tcPr>
          <w:p w14:paraId="7A10A75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79.6</w:t>
            </w:r>
          </w:p>
        </w:tc>
        <w:tc>
          <w:tcPr>
            <w:tcW w:w="680" w:type="dxa"/>
          </w:tcPr>
          <w:p w14:paraId="6BEFB0E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75.9</w:t>
            </w:r>
          </w:p>
        </w:tc>
        <w:tc>
          <w:tcPr>
            <w:tcW w:w="680" w:type="dxa"/>
          </w:tcPr>
          <w:p w14:paraId="65619BA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87.9</w:t>
            </w:r>
          </w:p>
        </w:tc>
        <w:tc>
          <w:tcPr>
            <w:tcW w:w="636" w:type="dxa"/>
          </w:tcPr>
          <w:p w14:paraId="6C9D2F8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79.1</w:t>
            </w:r>
          </w:p>
        </w:tc>
        <w:tc>
          <w:tcPr>
            <w:tcW w:w="666" w:type="dxa"/>
          </w:tcPr>
          <w:p w14:paraId="65345FE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78.2</w:t>
            </w:r>
          </w:p>
        </w:tc>
        <w:tc>
          <w:tcPr>
            <w:tcW w:w="1109" w:type="dxa"/>
            <w:vMerge/>
          </w:tcPr>
          <w:p w14:paraId="254FD419"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35CD4197" w14:textId="77777777" w:rsidTr="00275F35">
        <w:tc>
          <w:tcPr>
            <w:tcW w:w="1243" w:type="dxa"/>
            <w:vMerge/>
          </w:tcPr>
          <w:p w14:paraId="4892399D"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2CB908C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519211A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24</w:t>
            </w:r>
          </w:p>
        </w:tc>
        <w:tc>
          <w:tcPr>
            <w:tcW w:w="679" w:type="dxa"/>
          </w:tcPr>
          <w:p w14:paraId="6BBD2F2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86</w:t>
            </w:r>
          </w:p>
        </w:tc>
        <w:tc>
          <w:tcPr>
            <w:tcW w:w="680" w:type="dxa"/>
          </w:tcPr>
          <w:p w14:paraId="53C7D1EC"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91</w:t>
            </w:r>
          </w:p>
        </w:tc>
        <w:tc>
          <w:tcPr>
            <w:tcW w:w="679" w:type="dxa"/>
          </w:tcPr>
          <w:p w14:paraId="33CD3F4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80" w:type="dxa"/>
          </w:tcPr>
          <w:p w14:paraId="64003F0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80" w:type="dxa"/>
          </w:tcPr>
          <w:p w14:paraId="787F0C5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92</w:t>
            </w:r>
          </w:p>
        </w:tc>
        <w:tc>
          <w:tcPr>
            <w:tcW w:w="636" w:type="dxa"/>
          </w:tcPr>
          <w:p w14:paraId="3D0A52A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76</w:t>
            </w:r>
          </w:p>
        </w:tc>
        <w:tc>
          <w:tcPr>
            <w:tcW w:w="666" w:type="dxa"/>
          </w:tcPr>
          <w:p w14:paraId="5011CF12"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96</w:t>
            </w:r>
          </w:p>
        </w:tc>
        <w:tc>
          <w:tcPr>
            <w:tcW w:w="1109" w:type="dxa"/>
            <w:vMerge w:val="restart"/>
          </w:tcPr>
          <w:p w14:paraId="5641CFC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Fall 2020</w:t>
            </w:r>
          </w:p>
        </w:tc>
      </w:tr>
      <w:tr w:rsidR="00D34BC9" w:rsidRPr="00D34BC9" w14:paraId="21CEDB35" w14:textId="77777777" w:rsidTr="00275F35">
        <w:tc>
          <w:tcPr>
            <w:tcW w:w="1243" w:type="dxa"/>
            <w:vMerge/>
          </w:tcPr>
          <w:p w14:paraId="1E5A0317"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7E355CE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6039D1B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237</w:t>
            </w:r>
          </w:p>
        </w:tc>
        <w:tc>
          <w:tcPr>
            <w:tcW w:w="679" w:type="dxa"/>
          </w:tcPr>
          <w:p w14:paraId="252E9A7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85.4</w:t>
            </w:r>
          </w:p>
        </w:tc>
        <w:tc>
          <w:tcPr>
            <w:tcW w:w="680" w:type="dxa"/>
          </w:tcPr>
          <w:p w14:paraId="07E8AA4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87.4</w:t>
            </w:r>
          </w:p>
        </w:tc>
        <w:tc>
          <w:tcPr>
            <w:tcW w:w="679" w:type="dxa"/>
          </w:tcPr>
          <w:p w14:paraId="03D9914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86.3</w:t>
            </w:r>
          </w:p>
        </w:tc>
        <w:tc>
          <w:tcPr>
            <w:tcW w:w="680" w:type="dxa"/>
          </w:tcPr>
          <w:p w14:paraId="4CA82E8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79.4</w:t>
            </w:r>
          </w:p>
        </w:tc>
        <w:tc>
          <w:tcPr>
            <w:tcW w:w="680" w:type="dxa"/>
          </w:tcPr>
          <w:p w14:paraId="6B0EF9E4"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88.6</w:t>
            </w:r>
          </w:p>
        </w:tc>
        <w:tc>
          <w:tcPr>
            <w:tcW w:w="636" w:type="dxa"/>
          </w:tcPr>
          <w:p w14:paraId="389586C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78.1</w:t>
            </w:r>
          </w:p>
        </w:tc>
        <w:tc>
          <w:tcPr>
            <w:tcW w:w="666" w:type="dxa"/>
          </w:tcPr>
          <w:p w14:paraId="5B60704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90.3</w:t>
            </w:r>
          </w:p>
        </w:tc>
        <w:tc>
          <w:tcPr>
            <w:tcW w:w="1109" w:type="dxa"/>
            <w:vMerge/>
          </w:tcPr>
          <w:p w14:paraId="1DC175BF" w14:textId="77777777" w:rsidR="00D34BC9" w:rsidRPr="00D34BC9" w:rsidRDefault="00D34BC9" w:rsidP="0031208C">
            <w:pPr>
              <w:spacing w:line="360" w:lineRule="auto"/>
              <w:rPr>
                <w:rFonts w:ascii="Times New Roman" w:eastAsia="Times New Roman" w:hAnsi="Times New Roman" w:cs="Times New Roman"/>
                <w:sz w:val="24"/>
              </w:rPr>
            </w:pPr>
          </w:p>
        </w:tc>
      </w:tr>
      <w:tr w:rsidR="00D34BC9" w:rsidRPr="00D34BC9" w14:paraId="798DA111" w14:textId="77777777" w:rsidTr="00275F35">
        <w:tc>
          <w:tcPr>
            <w:tcW w:w="1243" w:type="dxa"/>
            <w:vMerge/>
          </w:tcPr>
          <w:p w14:paraId="17BC4A49"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2D7A97AE"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BS in AE</w:t>
            </w:r>
          </w:p>
        </w:tc>
        <w:tc>
          <w:tcPr>
            <w:tcW w:w="1070" w:type="dxa"/>
          </w:tcPr>
          <w:p w14:paraId="5319BAC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10</w:t>
            </w:r>
          </w:p>
        </w:tc>
        <w:tc>
          <w:tcPr>
            <w:tcW w:w="679" w:type="dxa"/>
          </w:tcPr>
          <w:p w14:paraId="1D1FA34A"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85</w:t>
            </w:r>
          </w:p>
        </w:tc>
        <w:tc>
          <w:tcPr>
            <w:tcW w:w="680" w:type="dxa"/>
          </w:tcPr>
          <w:p w14:paraId="61C8016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74</w:t>
            </w:r>
          </w:p>
        </w:tc>
        <w:tc>
          <w:tcPr>
            <w:tcW w:w="679" w:type="dxa"/>
          </w:tcPr>
          <w:p w14:paraId="50EBD7F7"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73</w:t>
            </w:r>
          </w:p>
        </w:tc>
        <w:tc>
          <w:tcPr>
            <w:tcW w:w="680" w:type="dxa"/>
          </w:tcPr>
          <w:p w14:paraId="02C8F40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81</w:t>
            </w:r>
          </w:p>
        </w:tc>
        <w:tc>
          <w:tcPr>
            <w:tcW w:w="680" w:type="dxa"/>
          </w:tcPr>
          <w:p w14:paraId="7245729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84</w:t>
            </w:r>
          </w:p>
        </w:tc>
        <w:tc>
          <w:tcPr>
            <w:tcW w:w="636" w:type="dxa"/>
          </w:tcPr>
          <w:p w14:paraId="6D4A462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73</w:t>
            </w:r>
          </w:p>
        </w:tc>
        <w:tc>
          <w:tcPr>
            <w:tcW w:w="666" w:type="dxa"/>
          </w:tcPr>
          <w:p w14:paraId="55732129"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1109" w:type="dxa"/>
            <w:vMerge w:val="restart"/>
          </w:tcPr>
          <w:p w14:paraId="3CCC02A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Spring 2020</w:t>
            </w:r>
          </w:p>
        </w:tc>
      </w:tr>
      <w:tr w:rsidR="00D34BC9" w:rsidRPr="00D34BC9" w14:paraId="40275182" w14:textId="77777777" w:rsidTr="00275F35">
        <w:tc>
          <w:tcPr>
            <w:tcW w:w="1243" w:type="dxa"/>
            <w:vMerge/>
          </w:tcPr>
          <w:p w14:paraId="49690D6D" w14:textId="77777777" w:rsidR="00D34BC9" w:rsidRPr="00D34BC9" w:rsidRDefault="00D34BC9" w:rsidP="0031208C">
            <w:pPr>
              <w:spacing w:line="360" w:lineRule="auto"/>
              <w:rPr>
                <w:rFonts w:ascii="Times New Roman" w:eastAsia="Times New Roman" w:hAnsi="Times New Roman" w:cs="Times New Roman"/>
                <w:sz w:val="24"/>
              </w:rPr>
            </w:pPr>
          </w:p>
        </w:tc>
        <w:tc>
          <w:tcPr>
            <w:tcW w:w="1228" w:type="dxa"/>
          </w:tcPr>
          <w:p w14:paraId="5E34D90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Overall</w:t>
            </w:r>
          </w:p>
        </w:tc>
        <w:tc>
          <w:tcPr>
            <w:tcW w:w="1070" w:type="dxa"/>
          </w:tcPr>
          <w:p w14:paraId="2C75BD01"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161</w:t>
            </w:r>
          </w:p>
        </w:tc>
        <w:tc>
          <w:tcPr>
            <w:tcW w:w="679" w:type="dxa"/>
          </w:tcPr>
          <w:p w14:paraId="3BE08756"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76</w:t>
            </w:r>
          </w:p>
        </w:tc>
        <w:tc>
          <w:tcPr>
            <w:tcW w:w="680" w:type="dxa"/>
          </w:tcPr>
          <w:p w14:paraId="2FB4BC05"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76</w:t>
            </w:r>
          </w:p>
        </w:tc>
        <w:tc>
          <w:tcPr>
            <w:tcW w:w="679" w:type="dxa"/>
          </w:tcPr>
          <w:p w14:paraId="439DD41F"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88</w:t>
            </w:r>
          </w:p>
        </w:tc>
        <w:tc>
          <w:tcPr>
            <w:tcW w:w="680" w:type="dxa"/>
          </w:tcPr>
          <w:p w14:paraId="18DF8DF8"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680" w:type="dxa"/>
          </w:tcPr>
          <w:p w14:paraId="53561B5D"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83</w:t>
            </w:r>
          </w:p>
        </w:tc>
        <w:tc>
          <w:tcPr>
            <w:tcW w:w="636" w:type="dxa"/>
          </w:tcPr>
          <w:p w14:paraId="2964A870"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80</w:t>
            </w:r>
          </w:p>
        </w:tc>
        <w:tc>
          <w:tcPr>
            <w:tcW w:w="666" w:type="dxa"/>
          </w:tcPr>
          <w:p w14:paraId="159E8883" w14:textId="77777777" w:rsidR="00D34BC9" w:rsidRPr="00D34BC9" w:rsidRDefault="00D34BC9" w:rsidP="0031208C">
            <w:pPr>
              <w:spacing w:line="360" w:lineRule="auto"/>
              <w:rPr>
                <w:rFonts w:ascii="Times New Roman" w:eastAsia="Times New Roman" w:hAnsi="Times New Roman" w:cs="Times New Roman"/>
                <w:sz w:val="24"/>
              </w:rPr>
            </w:pPr>
            <w:r w:rsidRPr="00D34BC9">
              <w:rPr>
                <w:rFonts w:ascii="Times New Roman" w:eastAsia="Times New Roman" w:hAnsi="Times New Roman" w:cs="Times New Roman"/>
                <w:sz w:val="24"/>
              </w:rPr>
              <w:t>78</w:t>
            </w:r>
          </w:p>
        </w:tc>
        <w:tc>
          <w:tcPr>
            <w:tcW w:w="1109" w:type="dxa"/>
            <w:vMerge/>
          </w:tcPr>
          <w:p w14:paraId="7DE7C96D" w14:textId="77777777" w:rsidR="00D34BC9" w:rsidRPr="00D34BC9" w:rsidRDefault="00D34BC9" w:rsidP="0031208C">
            <w:pPr>
              <w:spacing w:line="360" w:lineRule="auto"/>
              <w:rPr>
                <w:rFonts w:ascii="Times New Roman" w:eastAsia="Times New Roman" w:hAnsi="Times New Roman" w:cs="Times New Roman"/>
                <w:sz w:val="24"/>
              </w:rPr>
            </w:pPr>
          </w:p>
        </w:tc>
      </w:tr>
    </w:tbl>
    <w:p w14:paraId="43698751" w14:textId="77777777" w:rsidR="00D34BC9" w:rsidRDefault="00D34BC9" w:rsidP="00B76342">
      <w:pPr>
        <w:spacing w:after="0" w:line="360" w:lineRule="auto"/>
        <w:jc w:val="both"/>
        <w:rPr>
          <w:rFonts w:ascii="Times New Roman" w:eastAsia="Times New Roman" w:hAnsi="Times New Roman" w:cs="Times New Roman"/>
          <w:sz w:val="24"/>
        </w:rPr>
      </w:pPr>
    </w:p>
    <w:p w14:paraId="7ECD5747" w14:textId="7FF3E955" w:rsidR="00B76342" w:rsidRDefault="00D34BC9" w:rsidP="006A723D">
      <w:pPr>
        <w:spacing w:after="0" w:line="360" w:lineRule="auto"/>
        <w:ind w:firstLine="720"/>
        <w:jc w:val="both"/>
        <w:rPr>
          <w:rFonts w:ascii="Times New Roman" w:eastAsia="Times New Roman" w:hAnsi="Times New Roman" w:cs="Times New Roman"/>
          <w:sz w:val="24"/>
        </w:rPr>
      </w:pPr>
      <w:r w:rsidRPr="00D34BC9">
        <w:rPr>
          <w:rFonts w:ascii="Times New Roman" w:eastAsia="Times New Roman" w:hAnsi="Times New Roman" w:cs="Times New Roman"/>
          <w:sz w:val="24"/>
        </w:rPr>
        <w:t>The second part of this analysis is related to the comparison of CLOs attainment</w:t>
      </w:r>
      <w:r w:rsidR="006A723D">
        <w:rPr>
          <w:rFonts w:ascii="Times New Roman" w:eastAsia="Times New Roman" w:hAnsi="Times New Roman" w:cs="Times New Roman"/>
          <w:sz w:val="24"/>
        </w:rPr>
        <w:t>s</w:t>
      </w:r>
      <w:r w:rsidR="00B72E84">
        <w:rPr>
          <w:rFonts w:ascii="Times New Roman" w:eastAsia="Times New Roman" w:hAnsi="Times New Roman" w:cs="Times New Roman"/>
          <w:sz w:val="24"/>
        </w:rPr>
        <w:t xml:space="preserve"> of </w:t>
      </w:r>
      <w:r w:rsidR="006A723D">
        <w:rPr>
          <w:rFonts w:ascii="Times New Roman" w:eastAsia="Times New Roman" w:hAnsi="Times New Roman" w:cs="Times New Roman"/>
          <w:sz w:val="24"/>
        </w:rPr>
        <w:t>one sample course</w:t>
      </w:r>
      <w:r w:rsidR="00B72E84">
        <w:rPr>
          <w:rFonts w:ascii="Times New Roman" w:eastAsia="Times New Roman" w:hAnsi="Times New Roman" w:cs="Times New Roman"/>
          <w:sz w:val="24"/>
        </w:rPr>
        <w:t xml:space="preserve"> </w:t>
      </w:r>
      <w:r w:rsidRPr="00D34BC9">
        <w:rPr>
          <w:rFonts w:ascii="Times New Roman" w:eastAsia="Times New Roman" w:hAnsi="Times New Roman" w:cs="Times New Roman"/>
          <w:sz w:val="24"/>
        </w:rPr>
        <w:t xml:space="preserve">for two consecutive semesters in fall 2019 and spring 2020 for </w:t>
      </w:r>
      <w:r w:rsidR="006A723D">
        <w:rPr>
          <w:rFonts w:ascii="Times New Roman" w:eastAsia="Times New Roman" w:hAnsi="Times New Roman" w:cs="Times New Roman"/>
          <w:sz w:val="24"/>
        </w:rPr>
        <w:t>all</w:t>
      </w:r>
      <w:r w:rsidRPr="00D34BC9">
        <w:rPr>
          <w:rFonts w:ascii="Times New Roman" w:eastAsia="Times New Roman" w:hAnsi="Times New Roman" w:cs="Times New Roman"/>
          <w:sz w:val="24"/>
        </w:rPr>
        <w:t xml:space="preserve"> students </w:t>
      </w:r>
      <w:r w:rsidR="006A723D">
        <w:rPr>
          <w:rFonts w:ascii="Times New Roman" w:eastAsia="Times New Roman" w:hAnsi="Times New Roman" w:cs="Times New Roman"/>
          <w:sz w:val="24"/>
        </w:rPr>
        <w:t>in CE</w:t>
      </w:r>
      <w:r w:rsidRPr="00D34BC9">
        <w:rPr>
          <w:rFonts w:ascii="Times New Roman" w:eastAsia="Times New Roman" w:hAnsi="Times New Roman" w:cs="Times New Roman"/>
          <w:sz w:val="24"/>
        </w:rPr>
        <w:t xml:space="preserve"> as shown in Table 3. The course sample considered for this analysis is GENG 215 and the number of sections with achievements lower than 70% for each CLO are reported for each considered semesters and a list of recommendations has been set for remedial actions. We should mention her that in fall 2019 seven section</w:t>
      </w:r>
      <w:r w:rsidR="00BC1DC0">
        <w:rPr>
          <w:rFonts w:ascii="Times New Roman" w:eastAsia="Times New Roman" w:hAnsi="Times New Roman" w:cs="Times New Roman"/>
          <w:sz w:val="24"/>
        </w:rPr>
        <w:t>s</w:t>
      </w:r>
      <w:r w:rsidRPr="00D34BC9">
        <w:rPr>
          <w:rFonts w:ascii="Times New Roman" w:eastAsia="Times New Roman" w:hAnsi="Times New Roman" w:cs="Times New Roman"/>
          <w:sz w:val="24"/>
        </w:rPr>
        <w:t xml:space="preserve"> have been assessed and in spring 2020 five sections have been assessed as shown in Tables 4 and 5.</w:t>
      </w:r>
    </w:p>
    <w:p w14:paraId="61227E0F" w14:textId="1F484069" w:rsidR="00D34BC9" w:rsidRDefault="00D34BC9" w:rsidP="00B72E84">
      <w:pPr>
        <w:spacing w:after="0" w:line="360" w:lineRule="auto"/>
        <w:jc w:val="center"/>
        <w:rPr>
          <w:rFonts w:ascii="Times New Roman" w:eastAsia="Times New Roman" w:hAnsi="Times New Roman" w:cs="Times New Roman"/>
          <w:sz w:val="24"/>
        </w:rPr>
      </w:pPr>
      <w:r w:rsidRPr="00D34BC9">
        <w:rPr>
          <w:rFonts w:ascii="Times New Roman" w:eastAsia="Times New Roman" w:hAnsi="Times New Roman" w:cs="Times New Roman"/>
          <w:b/>
          <w:sz w:val="24"/>
        </w:rPr>
        <w:t xml:space="preserve">Table </w:t>
      </w:r>
      <w:r w:rsidR="00B72E84">
        <w:rPr>
          <w:rFonts w:ascii="Times New Roman" w:eastAsia="Times New Roman" w:hAnsi="Times New Roman" w:cs="Times New Roman"/>
          <w:b/>
          <w:sz w:val="24"/>
        </w:rPr>
        <w:t>3</w:t>
      </w:r>
      <w:r w:rsidRPr="00D34BC9">
        <w:rPr>
          <w:rFonts w:ascii="Times New Roman" w:eastAsia="Times New Roman" w:hAnsi="Times New Roman" w:cs="Times New Roman"/>
          <w:b/>
          <w:sz w:val="24"/>
        </w:rPr>
        <w:t xml:space="preserve">: </w:t>
      </w:r>
      <w:r w:rsidR="00B72E84">
        <w:rPr>
          <w:rFonts w:ascii="Times New Roman" w:eastAsia="Times New Roman" w:hAnsi="Times New Roman" w:cs="Times New Roman"/>
          <w:i/>
          <w:sz w:val="24"/>
        </w:rPr>
        <w:t xml:space="preserve">CLOs attainment of CE students in the three courses </w:t>
      </w:r>
    </w:p>
    <w:tbl>
      <w:tblPr>
        <w:tblStyle w:val="TableGrid"/>
        <w:tblW w:w="0" w:type="auto"/>
        <w:jc w:val="center"/>
        <w:tblLook w:val="04A0" w:firstRow="1" w:lastRow="0" w:firstColumn="1" w:lastColumn="0" w:noHBand="0" w:noVBand="1"/>
      </w:tblPr>
      <w:tblGrid>
        <w:gridCol w:w="3117"/>
        <w:gridCol w:w="2964"/>
        <w:gridCol w:w="3269"/>
      </w:tblGrid>
      <w:tr w:rsidR="00FB1246" w:rsidRPr="00D34BC9" w14:paraId="43CC7708" w14:textId="77777777" w:rsidTr="00275F35">
        <w:trPr>
          <w:trHeight w:val="188"/>
          <w:jc w:val="center"/>
        </w:trPr>
        <w:tc>
          <w:tcPr>
            <w:tcW w:w="3184" w:type="dxa"/>
            <w:vMerge w:val="restart"/>
          </w:tcPr>
          <w:p w14:paraId="09CA9472" w14:textId="77777777" w:rsidR="00275F35" w:rsidRDefault="00275F35" w:rsidP="0031208C">
            <w:pPr>
              <w:spacing w:line="360" w:lineRule="auto"/>
              <w:jc w:val="center"/>
              <w:rPr>
                <w:rFonts w:ascii="Times New Roman" w:eastAsia="Times New Roman" w:hAnsi="Times New Roman" w:cs="Times New Roman"/>
                <w:b/>
                <w:bCs/>
                <w:sz w:val="24"/>
              </w:rPr>
            </w:pPr>
          </w:p>
          <w:p w14:paraId="5E90AC25" w14:textId="48B95A50" w:rsidR="00FB1246" w:rsidRPr="0031208C" w:rsidRDefault="00FB1246" w:rsidP="0031208C">
            <w:pPr>
              <w:spacing w:line="360" w:lineRule="auto"/>
              <w:jc w:val="center"/>
              <w:rPr>
                <w:rFonts w:ascii="Times New Roman" w:eastAsia="Times New Roman" w:hAnsi="Times New Roman" w:cs="Times New Roman"/>
                <w:b/>
                <w:bCs/>
                <w:sz w:val="24"/>
              </w:rPr>
            </w:pPr>
            <w:r w:rsidRPr="0031208C">
              <w:rPr>
                <w:rFonts w:ascii="Times New Roman" w:eastAsia="Times New Roman" w:hAnsi="Times New Roman" w:cs="Times New Roman"/>
                <w:b/>
                <w:bCs/>
                <w:sz w:val="24"/>
              </w:rPr>
              <w:t>CLOs</w:t>
            </w:r>
          </w:p>
        </w:tc>
        <w:tc>
          <w:tcPr>
            <w:tcW w:w="6365" w:type="dxa"/>
            <w:gridSpan w:val="2"/>
          </w:tcPr>
          <w:p w14:paraId="0FB8E8ED" w14:textId="164F0244" w:rsidR="00FB1246" w:rsidRPr="0031208C" w:rsidRDefault="00FB1246" w:rsidP="00FB1246">
            <w:pPr>
              <w:spacing w:line="360" w:lineRule="auto"/>
              <w:jc w:val="center"/>
              <w:rPr>
                <w:rFonts w:ascii="Times New Roman" w:eastAsia="Times New Roman" w:hAnsi="Times New Roman" w:cs="Times New Roman"/>
                <w:b/>
                <w:bCs/>
                <w:sz w:val="24"/>
              </w:rPr>
            </w:pPr>
            <w:r w:rsidRPr="0031208C">
              <w:rPr>
                <w:rFonts w:ascii="Times New Roman" w:eastAsia="Times New Roman" w:hAnsi="Times New Roman" w:cs="Times New Roman"/>
                <w:b/>
                <w:bCs/>
                <w:sz w:val="24"/>
              </w:rPr>
              <w:t>Number of section with attainment &lt; 70%</w:t>
            </w:r>
            <w:r>
              <w:rPr>
                <w:rFonts w:ascii="Times New Roman" w:eastAsia="Times New Roman" w:hAnsi="Times New Roman" w:cs="Times New Roman"/>
                <w:b/>
                <w:bCs/>
                <w:sz w:val="24"/>
              </w:rPr>
              <w:t xml:space="preserve"> </w:t>
            </w:r>
          </w:p>
        </w:tc>
      </w:tr>
      <w:tr w:rsidR="00FB1246" w:rsidRPr="00D34BC9" w14:paraId="7F03DA5A" w14:textId="77777777" w:rsidTr="00275F35">
        <w:trPr>
          <w:trHeight w:val="305"/>
          <w:jc w:val="center"/>
        </w:trPr>
        <w:tc>
          <w:tcPr>
            <w:tcW w:w="3184" w:type="dxa"/>
            <w:vMerge/>
          </w:tcPr>
          <w:p w14:paraId="15FF4AD2" w14:textId="77777777" w:rsidR="00FB1246" w:rsidRPr="0031208C" w:rsidRDefault="00FB1246" w:rsidP="0031208C">
            <w:pPr>
              <w:spacing w:line="360" w:lineRule="auto"/>
              <w:jc w:val="center"/>
              <w:rPr>
                <w:rFonts w:ascii="Times New Roman" w:eastAsia="Times New Roman" w:hAnsi="Times New Roman" w:cs="Times New Roman"/>
                <w:b/>
                <w:bCs/>
                <w:sz w:val="24"/>
              </w:rPr>
            </w:pPr>
          </w:p>
        </w:tc>
        <w:tc>
          <w:tcPr>
            <w:tcW w:w="3031" w:type="dxa"/>
          </w:tcPr>
          <w:p w14:paraId="3F5C4E20" w14:textId="6921844A" w:rsidR="00FB1246" w:rsidRPr="0031208C" w:rsidRDefault="00FB1246" w:rsidP="0031208C">
            <w:pPr>
              <w:spacing w:line="360" w:lineRule="auto"/>
              <w:jc w:val="center"/>
              <w:rPr>
                <w:rFonts w:ascii="Times New Roman" w:eastAsia="Times New Roman" w:hAnsi="Times New Roman" w:cs="Times New Roman"/>
                <w:b/>
                <w:bCs/>
                <w:sz w:val="24"/>
              </w:rPr>
            </w:pPr>
            <w:r w:rsidRPr="0031208C">
              <w:rPr>
                <w:rFonts w:ascii="Times New Roman" w:eastAsia="Times New Roman" w:hAnsi="Times New Roman" w:cs="Times New Roman"/>
                <w:b/>
                <w:bCs/>
                <w:sz w:val="24"/>
              </w:rPr>
              <w:t>Fall 2019</w:t>
            </w:r>
          </w:p>
        </w:tc>
        <w:tc>
          <w:tcPr>
            <w:tcW w:w="3334" w:type="dxa"/>
          </w:tcPr>
          <w:p w14:paraId="7DE616C1" w14:textId="1C0E1C26" w:rsidR="00FB1246" w:rsidRPr="0031208C" w:rsidRDefault="00FB1246" w:rsidP="0031208C">
            <w:pPr>
              <w:spacing w:line="360" w:lineRule="auto"/>
              <w:jc w:val="center"/>
              <w:rPr>
                <w:rFonts w:ascii="Times New Roman" w:eastAsia="Times New Roman" w:hAnsi="Times New Roman" w:cs="Times New Roman"/>
                <w:b/>
                <w:bCs/>
                <w:sz w:val="24"/>
              </w:rPr>
            </w:pPr>
            <w:r w:rsidRPr="0031208C">
              <w:rPr>
                <w:rFonts w:ascii="Times New Roman" w:eastAsia="Times New Roman" w:hAnsi="Times New Roman" w:cs="Times New Roman"/>
                <w:b/>
                <w:bCs/>
                <w:sz w:val="24"/>
              </w:rPr>
              <w:t>Spring 2020</w:t>
            </w:r>
          </w:p>
        </w:tc>
      </w:tr>
      <w:tr w:rsidR="00D34BC9" w:rsidRPr="00D34BC9" w14:paraId="61790A86" w14:textId="77777777" w:rsidTr="0031208C">
        <w:trPr>
          <w:jc w:val="center"/>
        </w:trPr>
        <w:tc>
          <w:tcPr>
            <w:tcW w:w="3184" w:type="dxa"/>
          </w:tcPr>
          <w:p w14:paraId="51DCB2CB"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1</w:t>
            </w:r>
          </w:p>
        </w:tc>
        <w:tc>
          <w:tcPr>
            <w:tcW w:w="3026" w:type="dxa"/>
          </w:tcPr>
          <w:p w14:paraId="1AC3F894"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2</w:t>
            </w:r>
          </w:p>
        </w:tc>
        <w:tc>
          <w:tcPr>
            <w:tcW w:w="3339" w:type="dxa"/>
          </w:tcPr>
          <w:p w14:paraId="6B240FA5"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1</w:t>
            </w:r>
          </w:p>
        </w:tc>
      </w:tr>
      <w:tr w:rsidR="00D34BC9" w:rsidRPr="00D34BC9" w14:paraId="3193B0A2" w14:textId="77777777" w:rsidTr="0031208C">
        <w:trPr>
          <w:jc w:val="center"/>
        </w:trPr>
        <w:tc>
          <w:tcPr>
            <w:tcW w:w="3184" w:type="dxa"/>
          </w:tcPr>
          <w:p w14:paraId="7B95B1EF"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2</w:t>
            </w:r>
          </w:p>
        </w:tc>
        <w:tc>
          <w:tcPr>
            <w:tcW w:w="3026" w:type="dxa"/>
          </w:tcPr>
          <w:p w14:paraId="38D8164F"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1</w:t>
            </w:r>
          </w:p>
        </w:tc>
        <w:tc>
          <w:tcPr>
            <w:tcW w:w="3339" w:type="dxa"/>
          </w:tcPr>
          <w:p w14:paraId="54DCB189"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r>
      <w:tr w:rsidR="00D34BC9" w:rsidRPr="00D34BC9" w14:paraId="799D5704" w14:textId="77777777" w:rsidTr="0031208C">
        <w:trPr>
          <w:jc w:val="center"/>
        </w:trPr>
        <w:tc>
          <w:tcPr>
            <w:tcW w:w="3184" w:type="dxa"/>
          </w:tcPr>
          <w:p w14:paraId="09EC04DB"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3</w:t>
            </w:r>
          </w:p>
        </w:tc>
        <w:tc>
          <w:tcPr>
            <w:tcW w:w="3026" w:type="dxa"/>
          </w:tcPr>
          <w:p w14:paraId="3E82FC68"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c>
          <w:tcPr>
            <w:tcW w:w="3339" w:type="dxa"/>
          </w:tcPr>
          <w:p w14:paraId="4219FA1F"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r>
      <w:tr w:rsidR="00D34BC9" w:rsidRPr="00D34BC9" w14:paraId="4F8DDAF7" w14:textId="77777777" w:rsidTr="0031208C">
        <w:trPr>
          <w:jc w:val="center"/>
        </w:trPr>
        <w:tc>
          <w:tcPr>
            <w:tcW w:w="3184" w:type="dxa"/>
          </w:tcPr>
          <w:p w14:paraId="242039E7"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4</w:t>
            </w:r>
          </w:p>
        </w:tc>
        <w:tc>
          <w:tcPr>
            <w:tcW w:w="3026" w:type="dxa"/>
          </w:tcPr>
          <w:p w14:paraId="035A19BB"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1</w:t>
            </w:r>
          </w:p>
        </w:tc>
        <w:tc>
          <w:tcPr>
            <w:tcW w:w="3339" w:type="dxa"/>
          </w:tcPr>
          <w:p w14:paraId="3299C100"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2</w:t>
            </w:r>
          </w:p>
        </w:tc>
      </w:tr>
      <w:tr w:rsidR="00D34BC9" w:rsidRPr="00D34BC9" w14:paraId="7E325FF5" w14:textId="77777777" w:rsidTr="0031208C">
        <w:trPr>
          <w:jc w:val="center"/>
        </w:trPr>
        <w:tc>
          <w:tcPr>
            <w:tcW w:w="3184" w:type="dxa"/>
          </w:tcPr>
          <w:p w14:paraId="101617E4"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5</w:t>
            </w:r>
          </w:p>
        </w:tc>
        <w:tc>
          <w:tcPr>
            <w:tcW w:w="3026" w:type="dxa"/>
          </w:tcPr>
          <w:p w14:paraId="3A9F375B"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c>
          <w:tcPr>
            <w:tcW w:w="3339" w:type="dxa"/>
          </w:tcPr>
          <w:p w14:paraId="091B7A60"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r>
      <w:tr w:rsidR="00D34BC9" w:rsidRPr="00D34BC9" w14:paraId="0DE93081" w14:textId="77777777" w:rsidTr="00275F35">
        <w:trPr>
          <w:trHeight w:val="278"/>
          <w:jc w:val="center"/>
        </w:trPr>
        <w:tc>
          <w:tcPr>
            <w:tcW w:w="3184" w:type="dxa"/>
          </w:tcPr>
          <w:p w14:paraId="6D9824D9"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6</w:t>
            </w:r>
          </w:p>
        </w:tc>
        <w:tc>
          <w:tcPr>
            <w:tcW w:w="3026" w:type="dxa"/>
          </w:tcPr>
          <w:p w14:paraId="00CA99F0"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0</w:t>
            </w:r>
          </w:p>
        </w:tc>
        <w:tc>
          <w:tcPr>
            <w:tcW w:w="3339" w:type="dxa"/>
          </w:tcPr>
          <w:p w14:paraId="77803E76" w14:textId="77777777" w:rsidR="00D34BC9" w:rsidRPr="00D34BC9" w:rsidRDefault="00D34BC9" w:rsidP="00D34BC9">
            <w:pPr>
              <w:spacing w:line="360" w:lineRule="auto"/>
              <w:jc w:val="both"/>
              <w:rPr>
                <w:rFonts w:ascii="Times New Roman" w:eastAsia="Times New Roman" w:hAnsi="Times New Roman" w:cs="Times New Roman"/>
                <w:sz w:val="24"/>
              </w:rPr>
            </w:pPr>
            <w:r w:rsidRPr="00D34BC9">
              <w:rPr>
                <w:rFonts w:ascii="Times New Roman" w:eastAsia="Times New Roman" w:hAnsi="Times New Roman" w:cs="Times New Roman"/>
                <w:sz w:val="24"/>
              </w:rPr>
              <w:t>2</w:t>
            </w:r>
          </w:p>
        </w:tc>
      </w:tr>
    </w:tbl>
    <w:p w14:paraId="71A047A9" w14:textId="3A693ADF" w:rsidR="00D34BC9" w:rsidRDefault="00D34BC9" w:rsidP="00B76342">
      <w:pPr>
        <w:spacing w:after="0" w:line="360" w:lineRule="auto"/>
        <w:jc w:val="both"/>
        <w:rPr>
          <w:rFonts w:ascii="Times New Roman" w:eastAsia="Times New Roman" w:hAnsi="Times New Roman" w:cs="Times New Roman"/>
          <w:sz w:val="24"/>
        </w:rPr>
      </w:pPr>
    </w:p>
    <w:p w14:paraId="75291984" w14:textId="4331503A" w:rsidR="000B113D" w:rsidRDefault="000B113D" w:rsidP="000B113D">
      <w:pPr>
        <w:spacing w:after="0" w:line="360" w:lineRule="auto"/>
        <w:ind w:firstLine="720"/>
        <w:jc w:val="both"/>
        <w:rPr>
          <w:rFonts w:ascii="Times New Roman" w:eastAsia="Times New Roman" w:hAnsi="Times New Roman" w:cs="Times New Roman"/>
          <w:sz w:val="24"/>
        </w:rPr>
      </w:pPr>
      <w:r w:rsidRPr="000B113D">
        <w:rPr>
          <w:rFonts w:ascii="Times New Roman" w:eastAsia="Times New Roman" w:hAnsi="Times New Roman" w:cs="Times New Roman"/>
          <w:sz w:val="24"/>
        </w:rPr>
        <w:t>As a first observation on the results in Table 3, one can say that although the number of sections in spring was 5 but five sections registered an attainment lower than 70% during the online teaching. The most affected course learning outcome is the CLO#6 which deals mainly with the application of the design process using systematic design methods and identifying the related professional responsibilities and ethical issues. Due to the sudden decision taken by the UAE University administration to carry on the rest of the spring semester from mid of March to end of May using online teaching, the students and instructors were not that prepared to tackle different situations, opportunities, and problems associated with the online scenario. Higher order thinking skills with more detailed explanation of the design methods and their relation with the professional responsibilities and ethical issues by providing more assignments will be given more attention in the future.</w:t>
      </w:r>
    </w:p>
    <w:p w14:paraId="55DF8A20" w14:textId="4F79F20B" w:rsidR="002B106B" w:rsidRDefault="002B106B" w:rsidP="000B113D">
      <w:pPr>
        <w:spacing w:after="0" w:line="360" w:lineRule="auto"/>
        <w:ind w:firstLine="720"/>
        <w:jc w:val="both"/>
        <w:rPr>
          <w:rFonts w:ascii="Times New Roman" w:eastAsia="Times New Roman" w:hAnsi="Times New Roman" w:cs="Times New Roman"/>
          <w:sz w:val="24"/>
        </w:rPr>
      </w:pPr>
    </w:p>
    <w:p w14:paraId="144774ED" w14:textId="6FAADF4D" w:rsidR="002B106B" w:rsidRDefault="002B106B" w:rsidP="000B113D">
      <w:pPr>
        <w:spacing w:after="0" w:line="360" w:lineRule="auto"/>
        <w:ind w:firstLine="720"/>
        <w:jc w:val="both"/>
        <w:rPr>
          <w:rFonts w:ascii="Times New Roman" w:eastAsia="Times New Roman" w:hAnsi="Times New Roman" w:cs="Times New Roman"/>
          <w:sz w:val="24"/>
        </w:rPr>
      </w:pPr>
    </w:p>
    <w:p w14:paraId="09458A1B" w14:textId="77777777" w:rsidR="002B106B" w:rsidRDefault="002B106B" w:rsidP="000B113D">
      <w:pPr>
        <w:spacing w:after="0" w:line="360" w:lineRule="auto"/>
        <w:ind w:firstLine="720"/>
        <w:jc w:val="both"/>
        <w:rPr>
          <w:rFonts w:ascii="Times New Roman" w:eastAsia="Times New Roman" w:hAnsi="Times New Roman" w:cs="Times New Roman"/>
          <w:sz w:val="24"/>
        </w:rPr>
      </w:pPr>
      <w:bookmarkStart w:id="0" w:name="_GoBack"/>
      <w:bookmarkEnd w:id="0"/>
    </w:p>
    <w:p w14:paraId="11AD98F5" w14:textId="7F81707F" w:rsidR="000B113D" w:rsidRDefault="000B113D" w:rsidP="00030279">
      <w:pPr>
        <w:spacing w:after="0"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sz w:val="24"/>
        </w:rPr>
        <w:t xml:space="preserve">Table </w:t>
      </w:r>
      <w:r w:rsidR="00B72E84">
        <w:rPr>
          <w:rFonts w:ascii="Times New Roman" w:eastAsia="Times New Roman" w:hAnsi="Times New Roman" w:cs="Times New Roman"/>
          <w:b/>
          <w:sz w:val="24"/>
        </w:rPr>
        <w:t>4</w:t>
      </w:r>
      <w:r w:rsidRPr="000B113D">
        <w:rPr>
          <w:rFonts w:ascii="Times New Roman" w:eastAsia="Times New Roman" w:hAnsi="Times New Roman" w:cs="Times New Roman"/>
          <w:b/>
          <w:sz w:val="24"/>
        </w:rPr>
        <w:t xml:space="preserve">: </w:t>
      </w:r>
      <w:r w:rsidR="00030279">
        <w:rPr>
          <w:rFonts w:ascii="Times New Roman" w:eastAsia="Times New Roman" w:hAnsi="Times New Roman" w:cs="Times New Roman"/>
          <w:i/>
          <w:sz w:val="24"/>
        </w:rPr>
        <w:t>Sections with number of enrolled students in fall 2019</w:t>
      </w:r>
    </w:p>
    <w:tbl>
      <w:tblPr>
        <w:tblStyle w:val="TableGrid"/>
        <w:tblW w:w="9430" w:type="dxa"/>
        <w:jc w:val="center"/>
        <w:tblLook w:val="04A0" w:firstRow="1" w:lastRow="0" w:firstColumn="1" w:lastColumn="0" w:noHBand="0" w:noVBand="1"/>
      </w:tblPr>
      <w:tblGrid>
        <w:gridCol w:w="2465"/>
        <w:gridCol w:w="3600"/>
        <w:gridCol w:w="3365"/>
      </w:tblGrid>
      <w:tr w:rsidR="000B113D" w:rsidRPr="000B113D" w14:paraId="11A67E15" w14:textId="77777777" w:rsidTr="000B113D">
        <w:trPr>
          <w:jc w:val="center"/>
        </w:trPr>
        <w:tc>
          <w:tcPr>
            <w:tcW w:w="2465" w:type="dxa"/>
          </w:tcPr>
          <w:p w14:paraId="653BE277" w14:textId="77777777" w:rsidR="000B113D" w:rsidRPr="000B113D" w:rsidRDefault="000B113D" w:rsidP="0031208C">
            <w:pPr>
              <w:spacing w:line="360" w:lineRule="auto"/>
              <w:ind w:firstLine="720"/>
              <w:jc w:val="center"/>
              <w:rPr>
                <w:rFonts w:ascii="Times New Roman" w:eastAsia="Times New Roman" w:hAnsi="Times New Roman" w:cs="Times New Roman"/>
                <w:b/>
                <w:bCs/>
                <w:sz w:val="24"/>
              </w:rPr>
            </w:pPr>
            <w:r w:rsidRPr="000B113D">
              <w:rPr>
                <w:rFonts w:ascii="Times New Roman" w:eastAsia="Times New Roman" w:hAnsi="Times New Roman" w:cs="Times New Roman"/>
                <w:b/>
                <w:bCs/>
                <w:sz w:val="24"/>
              </w:rPr>
              <w:t>SEC#</w:t>
            </w:r>
          </w:p>
        </w:tc>
        <w:tc>
          <w:tcPr>
            <w:tcW w:w="3600" w:type="dxa"/>
          </w:tcPr>
          <w:p w14:paraId="456BDEF3" w14:textId="77777777" w:rsidR="000B113D" w:rsidRPr="000B113D" w:rsidRDefault="000B113D" w:rsidP="0031208C">
            <w:pPr>
              <w:spacing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bCs/>
                <w:sz w:val="24"/>
              </w:rPr>
              <w:t>Gender</w:t>
            </w:r>
          </w:p>
        </w:tc>
        <w:tc>
          <w:tcPr>
            <w:tcW w:w="3365" w:type="dxa"/>
          </w:tcPr>
          <w:p w14:paraId="5654E372" w14:textId="45076BBA" w:rsidR="000B113D" w:rsidRPr="000B113D" w:rsidRDefault="000B113D" w:rsidP="0031208C">
            <w:pPr>
              <w:spacing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bCs/>
                <w:sz w:val="24"/>
              </w:rPr>
              <w:t>Enrolment</w:t>
            </w:r>
          </w:p>
        </w:tc>
      </w:tr>
      <w:tr w:rsidR="000B113D" w:rsidRPr="000B113D" w14:paraId="38BD781B" w14:textId="77777777" w:rsidTr="000B113D">
        <w:trPr>
          <w:jc w:val="center"/>
        </w:trPr>
        <w:tc>
          <w:tcPr>
            <w:tcW w:w="2465" w:type="dxa"/>
          </w:tcPr>
          <w:p w14:paraId="3B3FB429"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01</w:t>
            </w:r>
          </w:p>
        </w:tc>
        <w:tc>
          <w:tcPr>
            <w:tcW w:w="3600" w:type="dxa"/>
          </w:tcPr>
          <w:p w14:paraId="15EF5C25"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65" w:type="dxa"/>
          </w:tcPr>
          <w:p w14:paraId="1AAEA35A"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41</w:t>
            </w:r>
          </w:p>
        </w:tc>
      </w:tr>
      <w:tr w:rsidR="000B113D" w:rsidRPr="000B113D" w14:paraId="1CF65F04" w14:textId="77777777" w:rsidTr="000B113D">
        <w:trPr>
          <w:jc w:val="center"/>
        </w:trPr>
        <w:tc>
          <w:tcPr>
            <w:tcW w:w="2465" w:type="dxa"/>
          </w:tcPr>
          <w:p w14:paraId="57B5776D"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02</w:t>
            </w:r>
          </w:p>
        </w:tc>
        <w:tc>
          <w:tcPr>
            <w:tcW w:w="3600" w:type="dxa"/>
          </w:tcPr>
          <w:p w14:paraId="67B385B5"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65" w:type="dxa"/>
          </w:tcPr>
          <w:p w14:paraId="6D1D6D48"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39</w:t>
            </w:r>
          </w:p>
        </w:tc>
      </w:tr>
      <w:tr w:rsidR="000B113D" w:rsidRPr="000B113D" w14:paraId="23D0F5AF" w14:textId="77777777" w:rsidTr="000B113D">
        <w:trPr>
          <w:jc w:val="center"/>
        </w:trPr>
        <w:tc>
          <w:tcPr>
            <w:tcW w:w="2465" w:type="dxa"/>
          </w:tcPr>
          <w:p w14:paraId="32A7D9AC"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51</w:t>
            </w:r>
          </w:p>
        </w:tc>
        <w:tc>
          <w:tcPr>
            <w:tcW w:w="3600" w:type="dxa"/>
          </w:tcPr>
          <w:p w14:paraId="6C565E51"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65" w:type="dxa"/>
          </w:tcPr>
          <w:p w14:paraId="486D4A87"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40</w:t>
            </w:r>
          </w:p>
        </w:tc>
      </w:tr>
      <w:tr w:rsidR="000B113D" w:rsidRPr="000B113D" w14:paraId="0475554E" w14:textId="77777777" w:rsidTr="000B113D">
        <w:trPr>
          <w:jc w:val="center"/>
        </w:trPr>
        <w:tc>
          <w:tcPr>
            <w:tcW w:w="2465" w:type="dxa"/>
          </w:tcPr>
          <w:p w14:paraId="226E0FD8"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52</w:t>
            </w:r>
          </w:p>
        </w:tc>
        <w:tc>
          <w:tcPr>
            <w:tcW w:w="3600" w:type="dxa"/>
          </w:tcPr>
          <w:p w14:paraId="7362A011"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65" w:type="dxa"/>
          </w:tcPr>
          <w:p w14:paraId="29A39AC6"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34</w:t>
            </w:r>
          </w:p>
        </w:tc>
      </w:tr>
      <w:tr w:rsidR="000B113D" w:rsidRPr="000B113D" w14:paraId="71885BCA" w14:textId="77777777" w:rsidTr="000B113D">
        <w:trPr>
          <w:jc w:val="center"/>
        </w:trPr>
        <w:tc>
          <w:tcPr>
            <w:tcW w:w="2465" w:type="dxa"/>
          </w:tcPr>
          <w:p w14:paraId="24564DBB"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53</w:t>
            </w:r>
          </w:p>
        </w:tc>
        <w:tc>
          <w:tcPr>
            <w:tcW w:w="3600" w:type="dxa"/>
          </w:tcPr>
          <w:p w14:paraId="1DF0C1D9"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65" w:type="dxa"/>
          </w:tcPr>
          <w:p w14:paraId="38495D2D"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26</w:t>
            </w:r>
          </w:p>
        </w:tc>
      </w:tr>
      <w:tr w:rsidR="000B113D" w:rsidRPr="000B113D" w14:paraId="6D163819" w14:textId="77777777" w:rsidTr="000B113D">
        <w:trPr>
          <w:jc w:val="center"/>
        </w:trPr>
        <w:tc>
          <w:tcPr>
            <w:tcW w:w="2465" w:type="dxa"/>
          </w:tcPr>
          <w:p w14:paraId="1736496C"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54</w:t>
            </w:r>
          </w:p>
        </w:tc>
        <w:tc>
          <w:tcPr>
            <w:tcW w:w="3600" w:type="dxa"/>
          </w:tcPr>
          <w:p w14:paraId="18AB8396"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65" w:type="dxa"/>
          </w:tcPr>
          <w:p w14:paraId="06E3D2AF"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22</w:t>
            </w:r>
          </w:p>
        </w:tc>
      </w:tr>
      <w:tr w:rsidR="000B113D" w:rsidRPr="000B113D" w14:paraId="1C89427B" w14:textId="77777777" w:rsidTr="000B113D">
        <w:trPr>
          <w:jc w:val="center"/>
        </w:trPr>
        <w:tc>
          <w:tcPr>
            <w:tcW w:w="2465" w:type="dxa"/>
          </w:tcPr>
          <w:p w14:paraId="0872FD96"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55</w:t>
            </w:r>
          </w:p>
        </w:tc>
        <w:tc>
          <w:tcPr>
            <w:tcW w:w="3600" w:type="dxa"/>
          </w:tcPr>
          <w:p w14:paraId="3E77298D"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65" w:type="dxa"/>
          </w:tcPr>
          <w:p w14:paraId="7C81D9B0"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29</w:t>
            </w:r>
          </w:p>
        </w:tc>
      </w:tr>
    </w:tbl>
    <w:p w14:paraId="4B3F1CFC" w14:textId="32A97F62" w:rsidR="000B113D" w:rsidRDefault="000B113D" w:rsidP="000B113D">
      <w:pPr>
        <w:spacing w:after="0" w:line="360" w:lineRule="auto"/>
        <w:ind w:firstLine="720"/>
        <w:jc w:val="both"/>
        <w:rPr>
          <w:rFonts w:ascii="Times New Roman" w:eastAsia="Times New Roman" w:hAnsi="Times New Roman" w:cs="Times New Roman"/>
          <w:sz w:val="24"/>
        </w:rPr>
      </w:pPr>
    </w:p>
    <w:p w14:paraId="1ED2CA6C" w14:textId="3DAFDE00" w:rsidR="00030279" w:rsidRDefault="000B113D" w:rsidP="00030279">
      <w:pPr>
        <w:spacing w:after="0"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sz w:val="24"/>
        </w:rPr>
        <w:t xml:space="preserve">Table </w:t>
      </w:r>
      <w:r w:rsidR="00B72E84">
        <w:rPr>
          <w:rFonts w:ascii="Times New Roman" w:eastAsia="Times New Roman" w:hAnsi="Times New Roman" w:cs="Times New Roman"/>
          <w:b/>
          <w:sz w:val="24"/>
        </w:rPr>
        <w:t>5</w:t>
      </w:r>
      <w:r w:rsidRPr="000B113D">
        <w:rPr>
          <w:rFonts w:ascii="Times New Roman" w:eastAsia="Times New Roman" w:hAnsi="Times New Roman" w:cs="Times New Roman"/>
          <w:b/>
          <w:sz w:val="24"/>
        </w:rPr>
        <w:t xml:space="preserve">: </w:t>
      </w:r>
      <w:r w:rsidR="00030279">
        <w:rPr>
          <w:rFonts w:ascii="Times New Roman" w:eastAsia="Times New Roman" w:hAnsi="Times New Roman" w:cs="Times New Roman"/>
          <w:i/>
          <w:sz w:val="24"/>
        </w:rPr>
        <w:t xml:space="preserve">Sections with number of enrolled students in </w:t>
      </w:r>
      <w:r w:rsidR="00030279">
        <w:rPr>
          <w:rFonts w:ascii="Times New Roman" w:eastAsia="Times New Roman" w:hAnsi="Times New Roman" w:cs="Times New Roman"/>
          <w:i/>
          <w:sz w:val="24"/>
        </w:rPr>
        <w:t>spring 2020</w:t>
      </w:r>
    </w:p>
    <w:tbl>
      <w:tblPr>
        <w:tblStyle w:val="TableGrid"/>
        <w:tblW w:w="9493" w:type="dxa"/>
        <w:jc w:val="center"/>
        <w:tblLook w:val="04A0" w:firstRow="1" w:lastRow="0" w:firstColumn="1" w:lastColumn="0" w:noHBand="0" w:noVBand="1"/>
      </w:tblPr>
      <w:tblGrid>
        <w:gridCol w:w="2497"/>
        <w:gridCol w:w="3600"/>
        <w:gridCol w:w="3396"/>
      </w:tblGrid>
      <w:tr w:rsidR="000B113D" w:rsidRPr="000B113D" w14:paraId="55DB1FBD" w14:textId="77777777" w:rsidTr="000B113D">
        <w:trPr>
          <w:jc w:val="center"/>
        </w:trPr>
        <w:tc>
          <w:tcPr>
            <w:tcW w:w="2497" w:type="dxa"/>
          </w:tcPr>
          <w:p w14:paraId="5EBF8167" w14:textId="77777777" w:rsidR="000B113D" w:rsidRPr="000B113D" w:rsidRDefault="000B113D" w:rsidP="0031208C">
            <w:pPr>
              <w:spacing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bCs/>
                <w:sz w:val="24"/>
              </w:rPr>
              <w:t>SEC#</w:t>
            </w:r>
          </w:p>
        </w:tc>
        <w:tc>
          <w:tcPr>
            <w:tcW w:w="3600" w:type="dxa"/>
          </w:tcPr>
          <w:p w14:paraId="73D43F94" w14:textId="77777777" w:rsidR="000B113D" w:rsidRPr="000B113D" w:rsidRDefault="000B113D" w:rsidP="0031208C">
            <w:pPr>
              <w:spacing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bCs/>
                <w:sz w:val="24"/>
              </w:rPr>
              <w:t>Gender</w:t>
            </w:r>
          </w:p>
        </w:tc>
        <w:tc>
          <w:tcPr>
            <w:tcW w:w="3396" w:type="dxa"/>
          </w:tcPr>
          <w:p w14:paraId="309817F0" w14:textId="612BE3BA" w:rsidR="000B113D" w:rsidRPr="000B113D" w:rsidRDefault="000B113D" w:rsidP="0031208C">
            <w:pPr>
              <w:spacing w:line="360" w:lineRule="auto"/>
              <w:ind w:firstLine="720"/>
              <w:jc w:val="center"/>
              <w:rPr>
                <w:rFonts w:ascii="Times New Roman" w:eastAsia="Times New Roman" w:hAnsi="Times New Roman" w:cs="Times New Roman"/>
                <w:sz w:val="24"/>
              </w:rPr>
            </w:pPr>
            <w:r w:rsidRPr="000B113D">
              <w:rPr>
                <w:rFonts w:ascii="Times New Roman" w:eastAsia="Times New Roman" w:hAnsi="Times New Roman" w:cs="Times New Roman"/>
                <w:b/>
                <w:bCs/>
                <w:sz w:val="24"/>
              </w:rPr>
              <w:t>Enrolment</w:t>
            </w:r>
          </w:p>
        </w:tc>
      </w:tr>
      <w:tr w:rsidR="000B113D" w:rsidRPr="000B113D" w14:paraId="545018E5" w14:textId="77777777" w:rsidTr="000B113D">
        <w:trPr>
          <w:jc w:val="center"/>
        </w:trPr>
        <w:tc>
          <w:tcPr>
            <w:tcW w:w="2497" w:type="dxa"/>
          </w:tcPr>
          <w:p w14:paraId="525D6F6C"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1</w:t>
            </w:r>
          </w:p>
        </w:tc>
        <w:tc>
          <w:tcPr>
            <w:tcW w:w="3600" w:type="dxa"/>
          </w:tcPr>
          <w:p w14:paraId="6588734D"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96" w:type="dxa"/>
          </w:tcPr>
          <w:p w14:paraId="3EBC2E7C"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58</w:t>
            </w:r>
          </w:p>
        </w:tc>
      </w:tr>
      <w:tr w:rsidR="000B113D" w:rsidRPr="000B113D" w14:paraId="65F325FB" w14:textId="77777777" w:rsidTr="000B113D">
        <w:trPr>
          <w:jc w:val="center"/>
        </w:trPr>
        <w:tc>
          <w:tcPr>
            <w:tcW w:w="2497" w:type="dxa"/>
          </w:tcPr>
          <w:p w14:paraId="1FD7FED5"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2</w:t>
            </w:r>
          </w:p>
        </w:tc>
        <w:tc>
          <w:tcPr>
            <w:tcW w:w="3600" w:type="dxa"/>
          </w:tcPr>
          <w:p w14:paraId="3C57EB99"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96" w:type="dxa"/>
          </w:tcPr>
          <w:p w14:paraId="13F62B98"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57</w:t>
            </w:r>
          </w:p>
        </w:tc>
      </w:tr>
      <w:tr w:rsidR="000B113D" w:rsidRPr="000B113D" w14:paraId="296CDF89" w14:textId="77777777" w:rsidTr="000B113D">
        <w:trPr>
          <w:jc w:val="center"/>
        </w:trPr>
        <w:tc>
          <w:tcPr>
            <w:tcW w:w="2497" w:type="dxa"/>
          </w:tcPr>
          <w:p w14:paraId="3C04FE21"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3</w:t>
            </w:r>
          </w:p>
        </w:tc>
        <w:tc>
          <w:tcPr>
            <w:tcW w:w="3600" w:type="dxa"/>
          </w:tcPr>
          <w:p w14:paraId="2695F9B4"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96" w:type="dxa"/>
          </w:tcPr>
          <w:p w14:paraId="62992D54"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52</w:t>
            </w:r>
          </w:p>
        </w:tc>
      </w:tr>
      <w:tr w:rsidR="000B113D" w:rsidRPr="000B113D" w14:paraId="42015437" w14:textId="77777777" w:rsidTr="000B113D">
        <w:trPr>
          <w:jc w:val="center"/>
        </w:trPr>
        <w:tc>
          <w:tcPr>
            <w:tcW w:w="2497" w:type="dxa"/>
          </w:tcPr>
          <w:p w14:paraId="50C85373"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51</w:t>
            </w:r>
          </w:p>
        </w:tc>
        <w:tc>
          <w:tcPr>
            <w:tcW w:w="3600" w:type="dxa"/>
          </w:tcPr>
          <w:p w14:paraId="303643F6"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Male</w:t>
            </w:r>
          </w:p>
        </w:tc>
        <w:tc>
          <w:tcPr>
            <w:tcW w:w="3396" w:type="dxa"/>
          </w:tcPr>
          <w:p w14:paraId="2CD9FE66"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31</w:t>
            </w:r>
          </w:p>
        </w:tc>
      </w:tr>
      <w:tr w:rsidR="000B113D" w:rsidRPr="000B113D" w14:paraId="7666E2CF" w14:textId="77777777" w:rsidTr="000B113D">
        <w:trPr>
          <w:jc w:val="center"/>
        </w:trPr>
        <w:tc>
          <w:tcPr>
            <w:tcW w:w="2497" w:type="dxa"/>
          </w:tcPr>
          <w:p w14:paraId="48088E8F"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52</w:t>
            </w:r>
          </w:p>
        </w:tc>
        <w:tc>
          <w:tcPr>
            <w:tcW w:w="3600" w:type="dxa"/>
          </w:tcPr>
          <w:p w14:paraId="0B51CFDB"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Female</w:t>
            </w:r>
          </w:p>
        </w:tc>
        <w:tc>
          <w:tcPr>
            <w:tcW w:w="3396" w:type="dxa"/>
          </w:tcPr>
          <w:p w14:paraId="5C9FB81C" w14:textId="77777777" w:rsidR="000B113D" w:rsidRPr="000B113D" w:rsidRDefault="000B113D" w:rsidP="0031208C">
            <w:pPr>
              <w:spacing w:line="360" w:lineRule="auto"/>
              <w:ind w:firstLine="720"/>
              <w:rPr>
                <w:rFonts w:ascii="Times New Roman" w:eastAsia="Times New Roman" w:hAnsi="Times New Roman" w:cs="Times New Roman"/>
                <w:sz w:val="24"/>
              </w:rPr>
            </w:pPr>
            <w:r w:rsidRPr="000B113D">
              <w:rPr>
                <w:rFonts w:ascii="Times New Roman" w:eastAsia="Times New Roman" w:hAnsi="Times New Roman" w:cs="Times New Roman"/>
                <w:sz w:val="24"/>
              </w:rPr>
              <w:t>58</w:t>
            </w:r>
          </w:p>
        </w:tc>
      </w:tr>
    </w:tbl>
    <w:p w14:paraId="290C417F" w14:textId="54A94D52" w:rsidR="000B113D" w:rsidRDefault="000B113D" w:rsidP="006A2058">
      <w:pPr>
        <w:spacing w:after="0" w:line="360" w:lineRule="auto"/>
        <w:jc w:val="both"/>
        <w:rPr>
          <w:rFonts w:ascii="Times New Roman" w:eastAsia="Times New Roman" w:hAnsi="Times New Roman" w:cs="Times New Roman"/>
          <w:sz w:val="24"/>
        </w:rPr>
      </w:pPr>
    </w:p>
    <w:p w14:paraId="7E08338D" w14:textId="6B1858C2" w:rsidR="006A2058" w:rsidRDefault="006A2058" w:rsidP="006A205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The attainment levels of the six CLOs for GENG 215 for the two successive considered semesters is shown in Fig.1. Indeed, </w:t>
      </w:r>
      <w:r w:rsidR="00E86912">
        <w:rPr>
          <w:rFonts w:ascii="Times New Roman" w:eastAsia="Times New Roman" w:hAnsi="Times New Roman" w:cs="Times New Roman"/>
          <w:sz w:val="24"/>
        </w:rPr>
        <w:t>one can see as an average there is no significant discrepancies between the direct and indirect attainments for both semesters. However, the indirect attainment levels of CLO5 and CLO6 are not in line with the direct one for the spring 2021 semester. This could be attributed to the mixture of face to face and online teaching methods during the semester.</w:t>
      </w:r>
    </w:p>
    <w:p w14:paraId="0378E218" w14:textId="1F3190FA" w:rsidR="006A2058" w:rsidRDefault="006A2058" w:rsidP="006A2058">
      <w:pPr>
        <w:spacing w:after="0" w:line="360" w:lineRule="auto"/>
        <w:jc w:val="both"/>
        <w:rPr>
          <w:rFonts w:ascii="Times New Roman" w:eastAsia="Times New Roman" w:hAnsi="Times New Roman" w:cs="Times New Roman"/>
          <w:sz w:val="24"/>
        </w:rPr>
      </w:pPr>
    </w:p>
    <w:p w14:paraId="5B7538B6" w14:textId="77777777" w:rsidR="006A2058" w:rsidRPr="006A2058" w:rsidRDefault="006A2058" w:rsidP="006A2058">
      <w:pPr>
        <w:spacing w:after="0" w:line="259" w:lineRule="auto"/>
        <w:jc w:val="center"/>
        <w:rPr>
          <w:rFonts w:ascii="Calibri" w:eastAsia="Calibri" w:hAnsi="Calibri" w:cs="Arial"/>
          <w:lang w:bidi="ar-AE"/>
        </w:rPr>
      </w:pPr>
      <w:r w:rsidRPr="006A2058">
        <w:rPr>
          <w:rFonts w:ascii="Calibri" w:eastAsia="Calibri" w:hAnsi="Calibri" w:cs="Arial"/>
          <w:noProof/>
        </w:rPr>
        <w:drawing>
          <wp:inline distT="0" distB="0" distL="0" distR="0" wp14:anchorId="109CEE36" wp14:editId="0C2C0CEE">
            <wp:extent cx="4380561" cy="3212327"/>
            <wp:effectExtent l="0" t="0" r="127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0D8465" w14:textId="03D6A260" w:rsidR="006A2058" w:rsidRPr="006A2058" w:rsidRDefault="00603B1D" w:rsidP="006A2058">
      <w:pPr>
        <w:spacing w:after="0" w:line="259" w:lineRule="auto"/>
        <w:jc w:val="center"/>
        <w:rPr>
          <w:rFonts w:ascii="Calibri" w:eastAsia="Calibri" w:hAnsi="Calibri" w:cs="Arial"/>
          <w:lang w:bidi="ar-AE"/>
        </w:rPr>
      </w:pPr>
      <w:r w:rsidRPr="00603B1D">
        <w:rPr>
          <w:rFonts w:ascii="Calibri" w:eastAsia="Calibri" w:hAnsi="Calibri" w:cs="Arial"/>
          <w:b/>
          <w:bCs/>
          <w:lang w:bidi="ar-AE"/>
        </w:rPr>
        <w:t>Figure 1:</w:t>
      </w:r>
      <w:r>
        <w:rPr>
          <w:rFonts w:ascii="Calibri" w:eastAsia="Calibri" w:hAnsi="Calibri" w:cs="Arial"/>
          <w:lang w:bidi="ar-AE"/>
        </w:rPr>
        <w:t xml:space="preserve"> </w:t>
      </w:r>
      <w:r w:rsidR="006A2058" w:rsidRPr="006A2058">
        <w:rPr>
          <w:rFonts w:ascii="Calibri" w:eastAsia="Calibri" w:hAnsi="Calibri" w:cs="Arial"/>
          <w:lang w:bidi="ar-AE"/>
        </w:rPr>
        <w:t xml:space="preserve">The GENG215 CLOs attainment levels for two successive semesters </w:t>
      </w:r>
    </w:p>
    <w:p w14:paraId="4B938263" w14:textId="77777777" w:rsidR="006A2058" w:rsidRDefault="006A2058" w:rsidP="006A2058">
      <w:pPr>
        <w:spacing w:after="0" w:line="360" w:lineRule="auto"/>
        <w:jc w:val="both"/>
        <w:rPr>
          <w:rFonts w:ascii="Times New Roman" w:eastAsia="Times New Roman" w:hAnsi="Times New Roman" w:cs="Times New Roman"/>
          <w:sz w:val="24"/>
        </w:rPr>
      </w:pPr>
    </w:p>
    <w:p w14:paraId="5182A596" w14:textId="75E3EF97" w:rsidR="0031208C" w:rsidRPr="00B72E84" w:rsidRDefault="00B72E84" w:rsidP="00B72E84">
      <w:pPr>
        <w:spacing w:after="0" w:line="360" w:lineRule="auto"/>
        <w:jc w:val="both"/>
        <w:rPr>
          <w:rFonts w:ascii="Times New Roman" w:eastAsia="Times New Roman" w:hAnsi="Times New Roman" w:cs="Times New Roman"/>
          <w:b/>
          <w:sz w:val="28"/>
          <w:szCs w:val="28"/>
        </w:rPr>
      </w:pPr>
      <w:r w:rsidRPr="00B72E84">
        <w:rPr>
          <w:rFonts w:ascii="Times New Roman" w:eastAsia="Times New Roman" w:hAnsi="Times New Roman" w:cs="Times New Roman"/>
          <w:b/>
          <w:sz w:val="28"/>
          <w:szCs w:val="28"/>
        </w:rPr>
        <w:t>4</w:t>
      </w:r>
      <w:r w:rsidR="0031208C" w:rsidRPr="00B72E84">
        <w:rPr>
          <w:rFonts w:ascii="Times New Roman" w:eastAsia="Times New Roman" w:hAnsi="Times New Roman" w:cs="Times New Roman"/>
          <w:b/>
          <w:sz w:val="28"/>
          <w:szCs w:val="28"/>
        </w:rPr>
        <w:t xml:space="preserve">. </w:t>
      </w:r>
      <w:r w:rsidRPr="00B72E84">
        <w:rPr>
          <w:rFonts w:ascii="Times New Roman" w:eastAsia="Times New Roman" w:hAnsi="Times New Roman" w:cs="Times New Roman"/>
          <w:b/>
          <w:sz w:val="28"/>
          <w:szCs w:val="28"/>
        </w:rPr>
        <w:t>Conclusion</w:t>
      </w:r>
    </w:p>
    <w:p w14:paraId="608FBD85" w14:textId="24AFD214" w:rsidR="0031208C" w:rsidRPr="0031208C" w:rsidRDefault="0031208C" w:rsidP="0031208C">
      <w:pPr>
        <w:spacing w:after="0" w:line="360" w:lineRule="auto"/>
        <w:ind w:firstLine="720"/>
        <w:jc w:val="both"/>
        <w:rPr>
          <w:rFonts w:ascii="Times New Roman" w:eastAsia="Times New Roman" w:hAnsi="Times New Roman" w:cs="Times New Roman"/>
          <w:sz w:val="24"/>
        </w:rPr>
      </w:pPr>
      <w:r w:rsidRPr="0031208C">
        <w:rPr>
          <w:rFonts w:ascii="Times New Roman" w:eastAsia="Times New Roman" w:hAnsi="Times New Roman" w:cs="Times New Roman"/>
          <w:sz w:val="24"/>
        </w:rPr>
        <w:t xml:space="preserve">The common </w:t>
      </w:r>
      <w:r w:rsidR="00BC1DC0">
        <w:rPr>
          <w:rFonts w:ascii="Times New Roman" w:eastAsia="Times New Roman" w:hAnsi="Times New Roman" w:cs="Times New Roman"/>
          <w:sz w:val="24"/>
        </w:rPr>
        <w:t>e</w:t>
      </w:r>
      <w:r w:rsidRPr="0031208C">
        <w:rPr>
          <w:rFonts w:ascii="Times New Roman" w:eastAsia="Times New Roman" w:hAnsi="Times New Roman" w:cs="Times New Roman"/>
          <w:sz w:val="24"/>
        </w:rPr>
        <w:t>ngineering courses taught in college of engineering at UAEU which includes GENG215 (Ethics), GENG220 (Thermodynamics), and GENG315 (Economics) have been assessed in term of level of attainment for each course CLOs for Architectural Engineering students and compared with all the students enrolled in college of engineering. This study is summarized as follow:</w:t>
      </w:r>
    </w:p>
    <w:p w14:paraId="4AEF6513" w14:textId="32CB3732" w:rsidR="0031208C" w:rsidRPr="00BC1DC0" w:rsidRDefault="0031208C" w:rsidP="00BC1DC0">
      <w:pPr>
        <w:numPr>
          <w:ilvl w:val="0"/>
          <w:numId w:val="10"/>
        </w:numPr>
        <w:spacing w:after="0" w:line="360" w:lineRule="auto"/>
        <w:jc w:val="both"/>
        <w:rPr>
          <w:rFonts w:ascii="Times New Roman" w:eastAsia="Times New Roman" w:hAnsi="Times New Roman" w:cs="Times New Roman"/>
          <w:sz w:val="24"/>
        </w:rPr>
      </w:pPr>
      <w:r w:rsidRPr="0031208C">
        <w:rPr>
          <w:rFonts w:ascii="Times New Roman" w:eastAsia="Times New Roman" w:hAnsi="Times New Roman" w:cs="Times New Roman"/>
          <w:sz w:val="24"/>
        </w:rPr>
        <w:t>The CLOs of GENG</w:t>
      </w:r>
      <w:r w:rsidR="00BC1DC0">
        <w:rPr>
          <w:rFonts w:ascii="Times New Roman" w:eastAsia="Times New Roman" w:hAnsi="Times New Roman" w:cs="Times New Roman"/>
          <w:sz w:val="24"/>
        </w:rPr>
        <w:t xml:space="preserve"> </w:t>
      </w:r>
      <w:r w:rsidRPr="0031208C">
        <w:rPr>
          <w:rFonts w:ascii="Times New Roman" w:eastAsia="Times New Roman" w:hAnsi="Times New Roman" w:cs="Times New Roman"/>
          <w:sz w:val="24"/>
        </w:rPr>
        <w:t>220 course are the most “negatively” impacted compared to GENG</w:t>
      </w:r>
      <w:r w:rsidR="00BC1DC0">
        <w:rPr>
          <w:rFonts w:ascii="Times New Roman" w:eastAsia="Times New Roman" w:hAnsi="Times New Roman" w:cs="Times New Roman"/>
          <w:sz w:val="24"/>
        </w:rPr>
        <w:t xml:space="preserve"> </w:t>
      </w:r>
      <w:r w:rsidRPr="0031208C">
        <w:rPr>
          <w:rFonts w:ascii="Times New Roman" w:eastAsia="Times New Roman" w:hAnsi="Times New Roman" w:cs="Times New Roman"/>
          <w:sz w:val="24"/>
        </w:rPr>
        <w:t>215 and GENG</w:t>
      </w:r>
      <w:r w:rsidR="00BC1DC0">
        <w:rPr>
          <w:rFonts w:ascii="Times New Roman" w:eastAsia="Times New Roman" w:hAnsi="Times New Roman" w:cs="Times New Roman"/>
          <w:sz w:val="24"/>
        </w:rPr>
        <w:t xml:space="preserve"> </w:t>
      </w:r>
      <w:r w:rsidRPr="0031208C">
        <w:rPr>
          <w:rFonts w:ascii="Times New Roman" w:eastAsia="Times New Roman" w:hAnsi="Times New Roman" w:cs="Times New Roman"/>
          <w:sz w:val="24"/>
        </w:rPr>
        <w:t xml:space="preserve">315. Indeed, the attainment of CLO3 and CLO5 are below 70% in fall 2019 and CLO1, CLO3, and CLO5 are lower than the threshold in spring 2020. This could be explained by the nature of this course which deals mainly with physical phenomenon and theory of thermodynamics </w:t>
      </w:r>
      <w:r w:rsidR="00BC1DC0">
        <w:rPr>
          <w:rFonts w:ascii="Times New Roman" w:eastAsia="Times New Roman" w:hAnsi="Times New Roman" w:cs="Times New Roman"/>
          <w:sz w:val="24"/>
        </w:rPr>
        <w:t xml:space="preserve">which require more interaction between student and instructor </w:t>
      </w:r>
      <w:r w:rsidRPr="0031208C">
        <w:rPr>
          <w:rFonts w:ascii="Times New Roman" w:eastAsia="Times New Roman" w:hAnsi="Times New Roman" w:cs="Times New Roman"/>
          <w:sz w:val="24"/>
        </w:rPr>
        <w:t>compared with the two other courses.</w:t>
      </w:r>
      <w:r w:rsidR="00BC1DC0">
        <w:rPr>
          <w:rFonts w:ascii="Times New Roman" w:eastAsia="Times New Roman" w:hAnsi="Times New Roman" w:cs="Times New Roman"/>
          <w:sz w:val="24"/>
        </w:rPr>
        <w:t xml:space="preserve"> </w:t>
      </w:r>
      <w:r w:rsidRPr="00BC1DC0">
        <w:rPr>
          <w:rFonts w:ascii="Times New Roman" w:eastAsia="Times New Roman" w:hAnsi="Times New Roman" w:cs="Times New Roman"/>
          <w:sz w:val="24"/>
        </w:rPr>
        <w:t>This is not only applied to AE students but the same tendency is observed for all the students enrolled in college of engineering particularly in fall 2019.</w:t>
      </w:r>
    </w:p>
    <w:p w14:paraId="5D0571D4" w14:textId="77777777" w:rsidR="00785807" w:rsidRPr="0031208C" w:rsidRDefault="0031208C" w:rsidP="0031208C">
      <w:pPr>
        <w:numPr>
          <w:ilvl w:val="0"/>
          <w:numId w:val="10"/>
        </w:numPr>
        <w:spacing w:after="0" w:line="360" w:lineRule="auto"/>
        <w:jc w:val="both"/>
        <w:rPr>
          <w:rFonts w:ascii="Times New Roman" w:eastAsia="Times New Roman" w:hAnsi="Times New Roman" w:cs="Times New Roman"/>
          <w:sz w:val="24"/>
        </w:rPr>
      </w:pPr>
      <w:r w:rsidRPr="0031208C">
        <w:rPr>
          <w:rFonts w:ascii="Times New Roman" w:eastAsia="Times New Roman" w:hAnsi="Times New Roman" w:cs="Times New Roman"/>
          <w:sz w:val="24"/>
        </w:rPr>
        <w:t xml:space="preserve">Another </w:t>
      </w:r>
      <w:r w:rsidR="006C244C" w:rsidRPr="0031208C">
        <w:rPr>
          <w:rFonts w:ascii="Times New Roman" w:eastAsia="Times New Roman" w:hAnsi="Times New Roman" w:cs="Times New Roman"/>
          <w:sz w:val="24"/>
        </w:rPr>
        <w:t xml:space="preserve">reason of such </w:t>
      </w:r>
      <w:r w:rsidR="006C244C" w:rsidRPr="0031208C">
        <w:rPr>
          <w:rFonts w:ascii="Times New Roman" w:eastAsia="Times New Roman" w:hAnsi="Times New Roman" w:cs="Times New Roman"/>
          <w:sz w:val="24"/>
        </w:rPr>
        <w:t>draw</w:t>
      </w:r>
      <w:r w:rsidR="006C244C" w:rsidRPr="0031208C">
        <w:rPr>
          <w:rFonts w:ascii="Times New Roman" w:eastAsia="Times New Roman" w:hAnsi="Times New Roman" w:cs="Times New Roman"/>
          <w:sz w:val="24"/>
        </w:rPr>
        <w:t>back in the attainment levels of the three CLOs is due to the o</w:t>
      </w:r>
      <w:r w:rsidR="006C244C" w:rsidRPr="0031208C">
        <w:rPr>
          <w:rFonts w:ascii="Times New Roman" w:eastAsia="Times New Roman" w:hAnsi="Times New Roman" w:cs="Times New Roman"/>
          <w:sz w:val="24"/>
        </w:rPr>
        <w:t xml:space="preserve">nline classes </w:t>
      </w:r>
      <w:r w:rsidR="006C244C" w:rsidRPr="0031208C">
        <w:rPr>
          <w:rFonts w:ascii="Times New Roman" w:eastAsia="Times New Roman" w:hAnsi="Times New Roman" w:cs="Times New Roman"/>
          <w:sz w:val="24"/>
        </w:rPr>
        <w:t>offered in the fall 2</w:t>
      </w:r>
      <w:r w:rsidR="006C244C" w:rsidRPr="0031208C">
        <w:rPr>
          <w:rFonts w:ascii="Times New Roman" w:eastAsia="Times New Roman" w:hAnsi="Times New Roman" w:cs="Times New Roman"/>
          <w:sz w:val="24"/>
        </w:rPr>
        <w:t>020 which represent a</w:t>
      </w:r>
      <w:r w:rsidR="006C244C" w:rsidRPr="0031208C">
        <w:rPr>
          <w:rFonts w:ascii="Times New Roman" w:eastAsia="Times New Roman" w:hAnsi="Times New Roman" w:cs="Times New Roman"/>
          <w:sz w:val="24"/>
        </w:rPr>
        <w:t xml:space="preserve"> challenge for </w:t>
      </w:r>
      <w:r w:rsidR="006C244C" w:rsidRPr="0031208C">
        <w:rPr>
          <w:rFonts w:ascii="Times New Roman" w:eastAsia="Times New Roman" w:hAnsi="Times New Roman" w:cs="Times New Roman"/>
          <w:sz w:val="24"/>
        </w:rPr>
        <w:t>both instructors and students.</w:t>
      </w:r>
    </w:p>
    <w:p w14:paraId="34ECA962" w14:textId="317CC7AF" w:rsidR="0031208C" w:rsidRPr="0031208C" w:rsidRDefault="0031208C" w:rsidP="00BC1DC0">
      <w:pPr>
        <w:numPr>
          <w:ilvl w:val="0"/>
          <w:numId w:val="10"/>
        </w:numPr>
        <w:spacing w:after="0" w:line="360" w:lineRule="auto"/>
        <w:jc w:val="both"/>
        <w:rPr>
          <w:rFonts w:ascii="Times New Roman" w:eastAsia="Times New Roman" w:hAnsi="Times New Roman" w:cs="Times New Roman"/>
          <w:sz w:val="24"/>
        </w:rPr>
      </w:pPr>
      <w:r w:rsidRPr="0031208C">
        <w:rPr>
          <w:rFonts w:ascii="Times New Roman" w:eastAsia="Times New Roman" w:hAnsi="Times New Roman" w:cs="Times New Roman"/>
          <w:sz w:val="24"/>
        </w:rPr>
        <w:t xml:space="preserve">The comparison of CLOs attainment for two consecutive semesters in fall 2019 and spring 2020 for </w:t>
      </w:r>
      <w:r w:rsidR="00BC1DC0">
        <w:rPr>
          <w:rFonts w:ascii="Times New Roman" w:eastAsia="Times New Roman" w:hAnsi="Times New Roman" w:cs="Times New Roman"/>
          <w:sz w:val="24"/>
        </w:rPr>
        <w:t>all</w:t>
      </w:r>
      <w:r w:rsidRPr="0031208C">
        <w:rPr>
          <w:rFonts w:ascii="Times New Roman" w:eastAsia="Times New Roman" w:hAnsi="Times New Roman" w:cs="Times New Roman"/>
          <w:sz w:val="24"/>
        </w:rPr>
        <w:t xml:space="preserve"> students </w:t>
      </w:r>
      <w:r w:rsidR="00BC1DC0">
        <w:rPr>
          <w:rFonts w:ascii="Times New Roman" w:eastAsia="Times New Roman" w:hAnsi="Times New Roman" w:cs="Times New Roman"/>
          <w:sz w:val="24"/>
        </w:rPr>
        <w:t>enrolled in</w:t>
      </w:r>
      <w:r w:rsidRPr="0031208C">
        <w:rPr>
          <w:rFonts w:ascii="Times New Roman" w:eastAsia="Times New Roman" w:hAnsi="Times New Roman" w:cs="Times New Roman"/>
          <w:sz w:val="24"/>
        </w:rPr>
        <w:t xml:space="preserve"> college of engineering in GENG</w:t>
      </w:r>
      <w:r w:rsidR="00BC1DC0">
        <w:rPr>
          <w:rFonts w:ascii="Times New Roman" w:eastAsia="Times New Roman" w:hAnsi="Times New Roman" w:cs="Times New Roman"/>
          <w:sz w:val="24"/>
        </w:rPr>
        <w:t xml:space="preserve"> </w:t>
      </w:r>
      <w:r w:rsidRPr="0031208C">
        <w:rPr>
          <w:rFonts w:ascii="Times New Roman" w:eastAsia="Times New Roman" w:hAnsi="Times New Roman" w:cs="Times New Roman"/>
          <w:sz w:val="24"/>
        </w:rPr>
        <w:t>215 course indicates that the most affected course learning outcome is the CLO#6 which deals mainly with the application of the design process using systematic design methods and identifying the related professional responsibilities and ethical issues. This drawback is mainly due</w:t>
      </w:r>
      <w:r w:rsidR="006C244C" w:rsidRPr="0031208C">
        <w:rPr>
          <w:rFonts w:ascii="Times New Roman" w:eastAsia="Times New Roman" w:hAnsi="Times New Roman" w:cs="Times New Roman"/>
          <w:sz w:val="24"/>
        </w:rPr>
        <w:t xml:space="preserve"> to the sudden decision taken by the UAE University </w:t>
      </w:r>
      <w:r w:rsidR="006C244C" w:rsidRPr="0031208C">
        <w:rPr>
          <w:rFonts w:ascii="Times New Roman" w:eastAsia="Times New Roman" w:hAnsi="Times New Roman" w:cs="Times New Roman"/>
          <w:sz w:val="24"/>
        </w:rPr>
        <w:t>administration</w:t>
      </w:r>
      <w:r w:rsidR="006C244C" w:rsidRPr="0031208C">
        <w:rPr>
          <w:rFonts w:ascii="Times New Roman" w:eastAsia="Times New Roman" w:hAnsi="Times New Roman" w:cs="Times New Roman"/>
          <w:sz w:val="24"/>
        </w:rPr>
        <w:t xml:space="preserve"> to carry on the rest of the spring semester from mid of March to end of May using online teaching</w:t>
      </w:r>
      <w:r w:rsidRPr="0031208C">
        <w:rPr>
          <w:rFonts w:ascii="Times New Roman" w:eastAsia="Times New Roman" w:hAnsi="Times New Roman" w:cs="Times New Roman"/>
          <w:sz w:val="24"/>
        </w:rPr>
        <w:t xml:space="preserve">. </w:t>
      </w:r>
      <w:r w:rsidR="006C244C" w:rsidRPr="0031208C">
        <w:rPr>
          <w:rFonts w:ascii="Times New Roman" w:eastAsia="Times New Roman" w:hAnsi="Times New Roman" w:cs="Times New Roman"/>
          <w:sz w:val="24"/>
        </w:rPr>
        <w:t xml:space="preserve"> </w:t>
      </w:r>
      <w:r w:rsidRPr="0031208C">
        <w:rPr>
          <w:rFonts w:ascii="Times New Roman" w:eastAsia="Times New Roman" w:hAnsi="Times New Roman" w:cs="Times New Roman"/>
          <w:sz w:val="24"/>
        </w:rPr>
        <w:t>T</w:t>
      </w:r>
      <w:r w:rsidR="006C244C" w:rsidRPr="0031208C">
        <w:rPr>
          <w:rFonts w:ascii="Times New Roman" w:eastAsia="Times New Roman" w:hAnsi="Times New Roman" w:cs="Times New Roman"/>
          <w:sz w:val="24"/>
        </w:rPr>
        <w:t>he</w:t>
      </w:r>
      <w:r w:rsidR="006C244C" w:rsidRPr="0031208C">
        <w:rPr>
          <w:rFonts w:ascii="Times New Roman" w:eastAsia="Times New Roman" w:hAnsi="Times New Roman" w:cs="Times New Roman"/>
          <w:sz w:val="24"/>
        </w:rPr>
        <w:t xml:space="preserve"> students and instructor</w:t>
      </w:r>
      <w:r w:rsidR="006C244C" w:rsidRPr="0031208C">
        <w:rPr>
          <w:rFonts w:ascii="Times New Roman" w:eastAsia="Times New Roman" w:hAnsi="Times New Roman" w:cs="Times New Roman"/>
          <w:sz w:val="24"/>
        </w:rPr>
        <w:t>s</w:t>
      </w:r>
      <w:r w:rsidR="006C244C" w:rsidRPr="0031208C">
        <w:rPr>
          <w:rFonts w:ascii="Times New Roman" w:eastAsia="Times New Roman" w:hAnsi="Times New Roman" w:cs="Times New Roman"/>
          <w:sz w:val="24"/>
        </w:rPr>
        <w:t xml:space="preserve"> were</w:t>
      </w:r>
      <w:r w:rsidR="006C244C" w:rsidRPr="0031208C">
        <w:rPr>
          <w:rFonts w:ascii="Times New Roman" w:eastAsia="Times New Roman" w:hAnsi="Times New Roman" w:cs="Times New Roman"/>
          <w:sz w:val="24"/>
        </w:rPr>
        <w:t xml:space="preserve"> not that prepared to tackle different situations, opportunities, and problems associated with the </w:t>
      </w:r>
      <w:r w:rsidR="006C244C" w:rsidRPr="0031208C">
        <w:rPr>
          <w:rFonts w:ascii="Times New Roman" w:eastAsia="Times New Roman" w:hAnsi="Times New Roman" w:cs="Times New Roman"/>
          <w:sz w:val="24"/>
        </w:rPr>
        <w:t>online</w:t>
      </w:r>
      <w:r w:rsidR="006C244C" w:rsidRPr="0031208C">
        <w:rPr>
          <w:rFonts w:ascii="Times New Roman" w:eastAsia="Times New Roman" w:hAnsi="Times New Roman" w:cs="Times New Roman"/>
          <w:sz w:val="24"/>
        </w:rPr>
        <w:t xml:space="preserve"> scenario</w:t>
      </w:r>
      <w:r w:rsidR="006C244C" w:rsidRPr="0031208C">
        <w:rPr>
          <w:rFonts w:ascii="Times New Roman" w:eastAsia="Times New Roman" w:hAnsi="Times New Roman" w:cs="Times New Roman"/>
          <w:sz w:val="24"/>
        </w:rPr>
        <w:t>.</w:t>
      </w:r>
    </w:p>
    <w:p w14:paraId="4C032323" w14:textId="12ABBB2F" w:rsidR="0031208C" w:rsidRDefault="0031208C" w:rsidP="00BC1DC0">
      <w:pPr>
        <w:spacing w:after="0" w:line="360" w:lineRule="auto"/>
        <w:jc w:val="both"/>
        <w:rPr>
          <w:rFonts w:ascii="Times New Roman" w:eastAsia="Times New Roman" w:hAnsi="Times New Roman" w:cs="Times New Roman"/>
          <w:sz w:val="24"/>
        </w:rPr>
      </w:pPr>
      <w:r w:rsidRPr="0031208C">
        <w:rPr>
          <w:rFonts w:ascii="Times New Roman" w:eastAsia="Times New Roman" w:hAnsi="Times New Roman" w:cs="Times New Roman"/>
          <w:sz w:val="24"/>
        </w:rPr>
        <w:t xml:space="preserve">This initial study should be extended to other courses taught in College of Engineering at UAEU with more focus on the new tools that should be implemented in online teaching and assessment methods for each course </w:t>
      </w:r>
      <w:r w:rsidR="00BC1DC0">
        <w:rPr>
          <w:rFonts w:ascii="Times New Roman" w:eastAsia="Times New Roman" w:hAnsi="Times New Roman" w:cs="Times New Roman"/>
          <w:sz w:val="24"/>
        </w:rPr>
        <w:t>and</w:t>
      </w:r>
      <w:r w:rsidRPr="0031208C">
        <w:rPr>
          <w:rFonts w:ascii="Times New Roman" w:eastAsia="Times New Roman" w:hAnsi="Times New Roman" w:cs="Times New Roman"/>
          <w:sz w:val="24"/>
        </w:rPr>
        <w:t xml:space="preserve"> </w:t>
      </w:r>
      <w:r w:rsidR="00BC1DC0">
        <w:rPr>
          <w:rFonts w:ascii="Times New Roman" w:eastAsia="Times New Roman" w:hAnsi="Times New Roman" w:cs="Times New Roman"/>
          <w:sz w:val="24"/>
        </w:rPr>
        <w:t xml:space="preserve">more </w:t>
      </w:r>
      <w:r w:rsidRPr="0031208C">
        <w:rPr>
          <w:rFonts w:ascii="Times New Roman" w:eastAsia="Times New Roman" w:hAnsi="Times New Roman" w:cs="Times New Roman"/>
          <w:sz w:val="24"/>
        </w:rPr>
        <w:t xml:space="preserve">attention </w:t>
      </w:r>
      <w:r w:rsidR="00BC1DC0">
        <w:rPr>
          <w:rFonts w:ascii="Times New Roman" w:eastAsia="Times New Roman" w:hAnsi="Times New Roman" w:cs="Times New Roman"/>
          <w:sz w:val="24"/>
        </w:rPr>
        <w:t xml:space="preserve">should be given </w:t>
      </w:r>
      <w:r w:rsidRPr="0031208C">
        <w:rPr>
          <w:rFonts w:ascii="Times New Roman" w:eastAsia="Times New Roman" w:hAnsi="Times New Roman" w:cs="Times New Roman"/>
          <w:sz w:val="24"/>
        </w:rPr>
        <w:t>to courses with design component.</w:t>
      </w:r>
    </w:p>
    <w:p w14:paraId="2EAB52A8" w14:textId="77777777" w:rsidR="00603B1D" w:rsidRDefault="00603B1D" w:rsidP="00050114">
      <w:pPr>
        <w:spacing w:after="0" w:line="360" w:lineRule="auto"/>
        <w:jc w:val="center"/>
        <w:rPr>
          <w:rFonts w:ascii="Times New Roman" w:hAnsi="Times New Roman" w:cs="Times New Roman"/>
          <w:b/>
          <w:sz w:val="28"/>
          <w:szCs w:val="28"/>
        </w:rPr>
      </w:pPr>
    </w:p>
    <w:p w14:paraId="40AFF737" w14:textId="064C0D6A" w:rsidR="003D1228" w:rsidRPr="004C483D" w:rsidRDefault="002458C2" w:rsidP="00050114">
      <w:pPr>
        <w:spacing w:after="0" w:line="360" w:lineRule="auto"/>
        <w:jc w:val="center"/>
        <w:rPr>
          <w:rFonts w:ascii="Times New Roman" w:hAnsi="Times New Roman" w:cs="Times New Roman"/>
          <w:b/>
          <w:sz w:val="28"/>
          <w:szCs w:val="28"/>
        </w:rPr>
      </w:pPr>
      <w:r w:rsidRPr="004C483D">
        <w:rPr>
          <w:rFonts w:ascii="Times New Roman" w:hAnsi="Times New Roman" w:cs="Times New Roman"/>
          <w:b/>
          <w:sz w:val="28"/>
          <w:szCs w:val="28"/>
        </w:rPr>
        <w:t>REFERENCES</w:t>
      </w:r>
    </w:p>
    <w:p w14:paraId="52C16779" w14:textId="68A14230" w:rsidR="005F554A" w:rsidRP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Banta, T.W. (2004). Developing assessment methods at classrooms, unit, and university-wide levels. Assessment workshop series - No 4. Retrieved from</w:t>
      </w:r>
      <w:r>
        <w:rPr>
          <w:rFonts w:ascii="Times New Roman" w:eastAsia="Times New Roman" w:hAnsi="Times New Roman" w:cs="Times New Roman"/>
          <w:sz w:val="24"/>
          <w:szCs w:val="24"/>
        </w:rPr>
        <w:t xml:space="preserve"> </w:t>
      </w:r>
      <w:hyperlink r:id="rId8" w:history="1">
        <w:r w:rsidRPr="005F554A">
          <w:rPr>
            <w:rStyle w:val="Hyperlink"/>
            <w:rFonts w:ascii="Times New Roman" w:eastAsia="Times New Roman" w:hAnsi="Times New Roman" w:cs="Times New Roman"/>
            <w:sz w:val="24"/>
            <w:szCs w:val="24"/>
          </w:rPr>
          <w:t>https://www.academia.edu/161594/Developing_a_variety_of_assessment_methods</w:t>
        </w:r>
      </w:hyperlink>
    </w:p>
    <w:p w14:paraId="60AB64D9" w14:textId="31F47104" w:rsidR="005F554A" w:rsidRP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Price, B.A and Randall, C.H. (2008). Assessing Learning Outcomes in Quantitative Courses: Using Embedded Questions for Direct Assessment. Journal of Education for Business, 83(5), 288-294.</w:t>
      </w:r>
    </w:p>
    <w:p w14:paraId="2A48B525" w14:textId="0E296A3B" w:rsidR="005F554A" w:rsidRPr="005F554A" w:rsidRDefault="002D4147" w:rsidP="005F554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Colleges of United Arab Emirates University. Retrieved from </w:t>
      </w:r>
      <w:hyperlink r:id="rId9" w:history="1">
        <w:r w:rsidR="005F554A" w:rsidRPr="005F554A">
          <w:rPr>
            <w:rStyle w:val="Hyperlink"/>
            <w:rFonts w:ascii="Times New Roman" w:eastAsia="Times New Roman" w:hAnsi="Times New Roman" w:cs="Times New Roman"/>
            <w:sz w:val="24"/>
            <w:szCs w:val="24"/>
          </w:rPr>
          <w:t>https://www.uaeu.ac.ae/en/colleges.shtml</w:t>
        </w:r>
      </w:hyperlink>
    </w:p>
    <w:p w14:paraId="425A1DE3" w14:textId="744B9D26" w:rsidR="005F554A" w:rsidRDefault="002D4147" w:rsidP="005F554A">
      <w:pPr>
        <w:spacing w:after="0" w:line="360" w:lineRule="auto"/>
        <w:ind w:left="720" w:hanging="720"/>
        <w:jc w:val="both"/>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Engineering Requirements Unit</w:t>
      </w:r>
      <w:r>
        <w:rPr>
          <w:rFonts w:ascii="Times New Roman" w:eastAsia="Times New Roman" w:hAnsi="Times New Roman" w:cs="Times New Roman"/>
          <w:sz w:val="24"/>
          <w:szCs w:val="24"/>
        </w:rPr>
        <w:t xml:space="preserve">. Retrieved from </w:t>
      </w:r>
      <w:hyperlink r:id="rId10" w:history="1">
        <w:r w:rsidR="005F554A" w:rsidRPr="005F554A">
          <w:rPr>
            <w:rStyle w:val="Hyperlink"/>
            <w:rFonts w:ascii="Times New Roman" w:eastAsia="Times New Roman" w:hAnsi="Times New Roman" w:cs="Times New Roman"/>
            <w:sz w:val="24"/>
            <w:szCs w:val="24"/>
          </w:rPr>
          <w:t>https://eng.uaeu.ac.ae/en/about/index.shtml</w:t>
        </w:r>
      </w:hyperlink>
    </w:p>
    <w:p w14:paraId="16397851" w14:textId="0301ADA8" w:rsidR="005F554A" w:rsidRPr="005F554A" w:rsidRDefault="00657645" w:rsidP="005F554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ABET. Retrieved from </w:t>
      </w:r>
      <w:hyperlink r:id="rId11" w:history="1">
        <w:r w:rsidR="005F554A" w:rsidRPr="005F554A">
          <w:rPr>
            <w:rStyle w:val="Hyperlink"/>
            <w:rFonts w:ascii="Times New Roman" w:eastAsia="Times New Roman" w:hAnsi="Times New Roman" w:cs="Times New Roman"/>
            <w:sz w:val="24"/>
            <w:szCs w:val="24"/>
          </w:rPr>
          <w:t>https://www.abet.org/</w:t>
        </w:r>
      </w:hyperlink>
    </w:p>
    <w:p w14:paraId="35C96FA7" w14:textId="68C0253E" w:rsidR="005F554A" w:rsidRPr="005F554A" w:rsidRDefault="00657645" w:rsidP="005F554A">
      <w:pPr>
        <w:spacing w:after="0" w:line="360" w:lineRule="auto"/>
        <w:ind w:left="720" w:hanging="720"/>
        <w:jc w:val="both"/>
        <w:rPr>
          <w:rFonts w:ascii="Times New Roman" w:eastAsia="Times New Roman" w:hAnsi="Times New Roman" w:cs="Times New Roman"/>
          <w:sz w:val="24"/>
          <w:szCs w:val="24"/>
        </w:rPr>
      </w:pPr>
      <w:r w:rsidRPr="00657645">
        <w:rPr>
          <w:rFonts w:ascii="Times New Roman" w:eastAsia="Times New Roman" w:hAnsi="Times New Roman" w:cs="Times New Roman"/>
          <w:sz w:val="24"/>
          <w:szCs w:val="24"/>
        </w:rPr>
        <w:t>Academic Advising</w:t>
      </w:r>
      <w:r>
        <w:rPr>
          <w:rFonts w:ascii="Times New Roman" w:eastAsia="Times New Roman" w:hAnsi="Times New Roman" w:cs="Times New Roman"/>
          <w:sz w:val="24"/>
          <w:szCs w:val="24"/>
        </w:rPr>
        <w:t xml:space="preserve">. Retrieved from </w:t>
      </w:r>
      <w:hyperlink r:id="rId12" w:history="1">
        <w:r w:rsidR="005F554A" w:rsidRPr="005F554A">
          <w:rPr>
            <w:rStyle w:val="Hyperlink"/>
            <w:rFonts w:ascii="Times New Roman" w:eastAsia="Times New Roman" w:hAnsi="Times New Roman" w:cs="Times New Roman"/>
            <w:sz w:val="24"/>
            <w:szCs w:val="24"/>
          </w:rPr>
          <w:t>https://eng.uaeu.ac.ae/en/departments/eru/about.shtml</w:t>
        </w:r>
      </w:hyperlink>
    </w:p>
    <w:p w14:paraId="0BCD244D" w14:textId="16E8397D" w:rsidR="005F554A" w:rsidRP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Luce, C. and Kirman, J.P. (2016). Using Indirect vs. Direct Measures in the Summative Assessment of Stude</w:t>
      </w:r>
      <w:r>
        <w:rPr>
          <w:rFonts w:ascii="Times New Roman" w:eastAsia="Times New Roman" w:hAnsi="Times New Roman" w:cs="Times New Roman"/>
          <w:sz w:val="24"/>
          <w:szCs w:val="24"/>
        </w:rPr>
        <w:t>nt Learning in Higher Education.</w:t>
      </w:r>
      <w:r w:rsidRPr="005F554A">
        <w:rPr>
          <w:rFonts w:ascii="Times New Roman" w:eastAsia="Times New Roman" w:hAnsi="Times New Roman" w:cs="Times New Roman"/>
          <w:sz w:val="24"/>
          <w:szCs w:val="24"/>
        </w:rPr>
        <w:t xml:space="preserve"> Journal of the Scholarship of Teaching and Learning, vol. 16, No. 4, pp. 75-91.</w:t>
      </w:r>
    </w:p>
    <w:p w14:paraId="57F64E27" w14:textId="48A060E0" w:rsidR="005F554A" w:rsidRP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Pederson, D.E and White, F. (2011). Using a Value-added Approach to assess the Sociology Major</w:t>
      </w:r>
      <w:r>
        <w:rPr>
          <w:rFonts w:ascii="Times New Roman" w:eastAsia="Times New Roman" w:hAnsi="Times New Roman" w:cs="Times New Roman"/>
          <w:sz w:val="24"/>
          <w:szCs w:val="24"/>
        </w:rPr>
        <w:t>.</w:t>
      </w:r>
      <w:r w:rsidRPr="005F554A">
        <w:rPr>
          <w:rFonts w:ascii="Times New Roman" w:eastAsia="Times New Roman" w:hAnsi="Times New Roman" w:cs="Times New Roman"/>
          <w:sz w:val="24"/>
          <w:szCs w:val="24"/>
        </w:rPr>
        <w:t xml:space="preserve"> Teaching Sociology, 39(2), 138-149.</w:t>
      </w:r>
    </w:p>
    <w:p w14:paraId="1F210024" w14:textId="3E7F95D0" w:rsidR="005F554A" w:rsidRP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Banta, T.W and Palomba, C.A. (2015). Assessment Essentials: Planning, Implementing, and Improving Assessment in higher Education (2</w:t>
      </w:r>
      <w:r w:rsidRPr="005F554A">
        <w:rPr>
          <w:rFonts w:ascii="Times New Roman" w:eastAsia="Times New Roman" w:hAnsi="Times New Roman" w:cs="Times New Roman"/>
          <w:sz w:val="24"/>
          <w:szCs w:val="24"/>
          <w:vertAlign w:val="superscript"/>
        </w:rPr>
        <w:t>nd</w:t>
      </w:r>
      <w:r w:rsidRPr="005F554A">
        <w:rPr>
          <w:rFonts w:ascii="Times New Roman" w:eastAsia="Times New Roman" w:hAnsi="Times New Roman" w:cs="Times New Roman"/>
          <w:sz w:val="24"/>
          <w:szCs w:val="24"/>
        </w:rPr>
        <w:t xml:space="preserve"> </w:t>
      </w:r>
      <w:r w:rsidR="00FB1246" w:rsidRPr="005F554A">
        <w:rPr>
          <w:rFonts w:ascii="Times New Roman" w:eastAsia="Times New Roman" w:hAnsi="Times New Roman" w:cs="Times New Roman"/>
          <w:sz w:val="24"/>
          <w:szCs w:val="24"/>
        </w:rPr>
        <w:t>Ed</w:t>
      </w:r>
      <w:r w:rsidRPr="005F554A">
        <w:rPr>
          <w:rFonts w:ascii="Times New Roman" w:eastAsia="Times New Roman" w:hAnsi="Times New Roman" w:cs="Times New Roman"/>
          <w:sz w:val="24"/>
          <w:szCs w:val="24"/>
        </w:rPr>
        <w:t>.). San Francisco, CA: Jossey-Bass.</w:t>
      </w:r>
    </w:p>
    <w:p w14:paraId="6C1DA84D" w14:textId="32FCF5C0" w:rsidR="005F554A" w:rsidRDefault="005F554A" w:rsidP="005F554A">
      <w:pPr>
        <w:spacing w:after="0" w:line="360" w:lineRule="auto"/>
        <w:ind w:left="720" w:hanging="720"/>
        <w:jc w:val="both"/>
        <w:rPr>
          <w:rFonts w:ascii="Times New Roman" w:eastAsia="Times New Roman" w:hAnsi="Times New Roman" w:cs="Times New Roman"/>
          <w:sz w:val="24"/>
          <w:szCs w:val="24"/>
        </w:rPr>
      </w:pPr>
      <w:r w:rsidRPr="005F554A">
        <w:rPr>
          <w:rFonts w:ascii="Times New Roman" w:eastAsia="Times New Roman" w:hAnsi="Times New Roman" w:cs="Times New Roman"/>
          <w:sz w:val="24"/>
          <w:szCs w:val="24"/>
        </w:rPr>
        <w:t>Suskie, L. (2009). Assessing Student Learning: A common Sense Guide (2</w:t>
      </w:r>
      <w:r w:rsidRPr="005F554A">
        <w:rPr>
          <w:rFonts w:ascii="Times New Roman" w:eastAsia="Times New Roman" w:hAnsi="Times New Roman" w:cs="Times New Roman"/>
          <w:sz w:val="24"/>
          <w:szCs w:val="24"/>
          <w:vertAlign w:val="superscript"/>
        </w:rPr>
        <w:t>nd</w:t>
      </w:r>
      <w:r w:rsidRPr="005F554A">
        <w:rPr>
          <w:rFonts w:ascii="Times New Roman" w:eastAsia="Times New Roman" w:hAnsi="Times New Roman" w:cs="Times New Roman"/>
          <w:sz w:val="24"/>
          <w:szCs w:val="24"/>
        </w:rPr>
        <w:t xml:space="preserve"> </w:t>
      </w:r>
      <w:r w:rsidR="00FB1246" w:rsidRPr="005F554A">
        <w:rPr>
          <w:rFonts w:ascii="Times New Roman" w:eastAsia="Times New Roman" w:hAnsi="Times New Roman" w:cs="Times New Roman"/>
          <w:sz w:val="24"/>
          <w:szCs w:val="24"/>
        </w:rPr>
        <w:t>Ed</w:t>
      </w:r>
      <w:r w:rsidRPr="005F554A">
        <w:rPr>
          <w:rFonts w:ascii="Times New Roman" w:eastAsia="Times New Roman" w:hAnsi="Times New Roman" w:cs="Times New Roman"/>
          <w:sz w:val="24"/>
          <w:szCs w:val="24"/>
        </w:rPr>
        <w:t>.). San Francisco, CA: Jossey-Bass.</w:t>
      </w:r>
    </w:p>
    <w:p w14:paraId="590F318C" w14:textId="77777777" w:rsidR="005F554A" w:rsidRDefault="005F554A" w:rsidP="007F1322">
      <w:pPr>
        <w:spacing w:after="0" w:line="360" w:lineRule="auto"/>
        <w:ind w:left="720" w:hanging="720"/>
        <w:jc w:val="both"/>
        <w:rPr>
          <w:rFonts w:ascii="Times New Roman" w:eastAsia="Times New Roman" w:hAnsi="Times New Roman" w:cs="Times New Roman"/>
          <w:sz w:val="24"/>
          <w:szCs w:val="24"/>
        </w:rPr>
      </w:pPr>
    </w:p>
    <w:p w14:paraId="27A8B90B" w14:textId="77777777" w:rsidR="005F554A" w:rsidRDefault="005F554A" w:rsidP="007F1322">
      <w:pPr>
        <w:spacing w:after="0" w:line="360" w:lineRule="auto"/>
        <w:ind w:left="720" w:hanging="720"/>
        <w:jc w:val="both"/>
        <w:rPr>
          <w:rFonts w:ascii="Times New Roman" w:eastAsia="Times New Roman" w:hAnsi="Times New Roman" w:cs="Times New Roman"/>
          <w:sz w:val="24"/>
          <w:szCs w:val="24"/>
        </w:rPr>
      </w:pPr>
    </w:p>
    <w:sectPr w:rsidR="005F554A" w:rsidSect="00EE33BF">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70DFB" w14:textId="77777777" w:rsidR="006C244C" w:rsidRDefault="006C244C" w:rsidP="00B723F0">
      <w:pPr>
        <w:spacing w:after="0" w:line="240" w:lineRule="auto"/>
      </w:pPr>
      <w:r>
        <w:separator/>
      </w:r>
    </w:p>
  </w:endnote>
  <w:endnote w:type="continuationSeparator" w:id="0">
    <w:p w14:paraId="582647EC" w14:textId="77777777" w:rsidR="006C244C" w:rsidRDefault="006C244C"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756F" w14:textId="77777777" w:rsidR="000B113D" w:rsidRDefault="000B113D"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FFC7D" w14:textId="77777777" w:rsidR="000B113D" w:rsidRDefault="000B113D"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9BD5" w14:textId="0CAF06B5" w:rsidR="000B113D" w:rsidRDefault="000B113D" w:rsidP="00BC25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44C">
      <w:rPr>
        <w:rStyle w:val="PageNumber"/>
        <w:noProof/>
      </w:rPr>
      <w:t>1</w:t>
    </w:r>
    <w:r>
      <w:rPr>
        <w:rStyle w:val="PageNumber"/>
      </w:rPr>
      <w:fldChar w:fldCharType="end"/>
    </w:r>
  </w:p>
  <w:p w14:paraId="45B52B98" w14:textId="77777777" w:rsidR="000B113D" w:rsidRPr="008042A1" w:rsidRDefault="000B113D" w:rsidP="008042A1">
    <w:pPr>
      <w:spacing w:after="0" w:line="240" w:lineRule="auto"/>
      <w:ind w:right="360"/>
      <w:rPr>
        <w:rFonts w:ascii="Book Antiqua" w:hAnsi="Book Antiqua" w:cs="Times New Roman"/>
        <w:i/>
        <w:sz w:val="20"/>
        <w:szCs w:val="20"/>
      </w:rPr>
    </w:pPr>
    <w:r w:rsidRPr="00BC0A49">
      <w:rPr>
        <w:sz w:val="20"/>
        <w:szCs w:val="20"/>
      </w:rPr>
      <w:t xml:space="preserve">Available Online at: </w:t>
    </w:r>
    <w:hyperlink r:id="rId1" w:history="1">
      <w:r>
        <w:rPr>
          <w:rStyle w:val="Hyperlink"/>
          <w:i/>
          <w:sz w:val="20"/>
          <w:szCs w:val="20"/>
        </w:rPr>
        <w:t>http://grdspublishing.org/</w:t>
      </w:r>
    </w:hyperlink>
    <w:r w:rsidRPr="00BC0A49">
      <w:rPr>
        <w:rFonts w:ascii="Book Antiqua" w:hAnsi="Book Antiqua" w:cs="Times New Roman"/>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EED5" w14:textId="77777777" w:rsidR="006C244C" w:rsidRDefault="006C244C" w:rsidP="00B723F0">
      <w:pPr>
        <w:spacing w:after="0" w:line="240" w:lineRule="auto"/>
      </w:pPr>
      <w:r>
        <w:separator/>
      </w:r>
    </w:p>
  </w:footnote>
  <w:footnote w:type="continuationSeparator" w:id="0">
    <w:p w14:paraId="263785CF" w14:textId="77777777" w:rsidR="006C244C" w:rsidRDefault="006C244C"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7D2C" w14:textId="77777777" w:rsidR="000B113D" w:rsidRDefault="000B113D">
    <w:pPr>
      <w:pStyle w:val="Header"/>
    </w:pPr>
    <w:sdt>
      <w:sdtPr>
        <w:id w:val="685022719"/>
        <w:placeholder>
          <w:docPart w:val="542160B0A1C9DB4B94C2A254B04C359C"/>
        </w:placeholder>
        <w:temporary/>
        <w:showingPlcHdr/>
      </w:sdtPr>
      <w:sdtContent>
        <w:r>
          <w:t>[Type text]</w:t>
        </w:r>
      </w:sdtContent>
    </w:sdt>
    <w:r>
      <w:ptab w:relativeTo="margin" w:alignment="center" w:leader="none"/>
    </w:r>
    <w:sdt>
      <w:sdtPr>
        <w:id w:val="-1899126202"/>
        <w:placeholder>
          <w:docPart w:val="ED6025A7D31D544FAE6997067048A55E"/>
        </w:placeholder>
        <w:temporary/>
        <w:showingPlcHdr/>
      </w:sdtPr>
      <w:sdtContent>
        <w:r>
          <w:t>[Type text]</w:t>
        </w:r>
      </w:sdtContent>
    </w:sdt>
    <w:r>
      <w:ptab w:relativeTo="margin" w:alignment="right" w:leader="none"/>
    </w:r>
    <w:sdt>
      <w:sdtPr>
        <w:id w:val="-1017232803"/>
        <w:placeholder>
          <w:docPart w:val="7ADBA39776D03546B62C4C6185FE3C94"/>
        </w:placeholder>
        <w:temporary/>
        <w:showingPlcHdr/>
      </w:sdtPr>
      <w:sdtContent>
        <w:r>
          <w:t>[Type text]</w:t>
        </w:r>
      </w:sdtContent>
    </w:sdt>
  </w:p>
  <w:p w14:paraId="238BE9A9" w14:textId="77777777" w:rsidR="000B113D" w:rsidRDefault="000B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09E5" w14:textId="1505904D" w:rsidR="000B113D" w:rsidRDefault="000B113D" w:rsidP="00BC0A49">
    <w:pPr>
      <w:pStyle w:val="Header"/>
      <w:rPr>
        <w:rFonts w:eastAsia="Times New Roman" w:cs="Times New Roman"/>
        <w:b/>
        <w:bCs/>
        <w:i/>
        <w:sz w:val="20"/>
        <w:szCs w:val="20"/>
      </w:rPr>
    </w:pPr>
    <w:r w:rsidRPr="003010AB">
      <w:rPr>
        <w:rFonts w:ascii="Times New Roman" w:hAnsi="Times New Roman" w:cs="Times New Roman"/>
        <w:noProof/>
        <w:sz w:val="20"/>
        <w:szCs w:val="20"/>
      </w:rPr>
      <w:drawing>
        <wp:anchor distT="0" distB="0" distL="114300" distR="114300" simplePos="0" relativeHeight="251659264" behindDoc="0" locked="0" layoutInCell="1" allowOverlap="1" wp14:anchorId="79AC1FF4" wp14:editId="5B52D38B">
          <wp:simplePos x="0" y="0"/>
          <wp:positionH relativeFrom="margin">
            <wp:posOffset>4578350</wp:posOffset>
          </wp:positionH>
          <wp:positionV relativeFrom="margin">
            <wp:posOffset>-879475</wp:posOffset>
          </wp:positionV>
          <wp:extent cx="1768475" cy="662305"/>
          <wp:effectExtent l="0" t="0" r="3175" b="4445"/>
          <wp:wrapSquare wrapText="bothSides"/>
          <wp:docPr id="69" name="Picture 69" descr="GRD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DS We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600"/>
                  <a:stretch/>
                </pic:blipFill>
                <pic:spPr bwMode="auto">
                  <a:xfrm>
                    <a:off x="0" y="0"/>
                    <a:ext cx="1768475" cy="662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eastAsia="Times New Roman" w:cs="Times New Roman"/>
        <w:b/>
        <w:bCs/>
        <w:i/>
        <w:sz w:val="20"/>
        <w:szCs w:val="20"/>
      </w:rPr>
      <w:t>Name of the Journal</w:t>
    </w:r>
    <w:r>
      <w:rPr>
        <w:rFonts w:eastAsia="Times New Roman" w:cs="Times New Roman"/>
        <w:b/>
        <w:bCs/>
        <w:i/>
        <w:sz w:val="20"/>
        <w:szCs w:val="20"/>
      </w:rPr>
      <w:tab/>
    </w:r>
  </w:p>
  <w:p w14:paraId="17CC61DF" w14:textId="2775DD56" w:rsidR="000B113D" w:rsidRPr="00BC0A49" w:rsidRDefault="000B113D" w:rsidP="00BC0A49">
    <w:pPr>
      <w:pStyle w:val="Header"/>
      <w:rPr>
        <w:rFonts w:eastAsia="Times New Roman" w:cs="Times New Roman"/>
        <w:b/>
        <w:bCs/>
        <w:i/>
        <w:sz w:val="20"/>
        <w:szCs w:val="20"/>
      </w:rPr>
    </w:pPr>
    <w:r>
      <w:rPr>
        <w:b/>
        <w:bCs/>
        <w:i/>
        <w:sz w:val="20"/>
        <w:szCs w:val="20"/>
      </w:rPr>
      <w:t>ISSN xxxx-xxxx</w:t>
    </w:r>
    <w:r>
      <w:ptab w:relativeTo="margin" w:alignment="center" w:leader="none"/>
    </w:r>
  </w:p>
  <w:p w14:paraId="16D36D06" w14:textId="77777777" w:rsidR="000B113D" w:rsidRDefault="000B113D" w:rsidP="00A22111">
    <w:pPr>
      <w:pStyle w:val="Header"/>
      <w:jc w:val="center"/>
    </w:pP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493"/>
    <w:multiLevelType w:val="hybridMultilevel"/>
    <w:tmpl w:val="03261A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92A2133"/>
    <w:multiLevelType w:val="hybridMultilevel"/>
    <w:tmpl w:val="C2FE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8"/>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C9"/>
    <w:rsid w:val="0000349C"/>
    <w:rsid w:val="00006B97"/>
    <w:rsid w:val="00027B9F"/>
    <w:rsid w:val="00030279"/>
    <w:rsid w:val="00050114"/>
    <w:rsid w:val="000B113D"/>
    <w:rsid w:val="000E6EC9"/>
    <w:rsid w:val="00103DD3"/>
    <w:rsid w:val="001528D0"/>
    <w:rsid w:val="00156792"/>
    <w:rsid w:val="002458C2"/>
    <w:rsid w:val="00264FFA"/>
    <w:rsid w:val="00275F35"/>
    <w:rsid w:val="00293E46"/>
    <w:rsid w:val="002B1001"/>
    <w:rsid w:val="002B106B"/>
    <w:rsid w:val="002D4147"/>
    <w:rsid w:val="002D45BB"/>
    <w:rsid w:val="002D7BBA"/>
    <w:rsid w:val="002D7E15"/>
    <w:rsid w:val="002E5D1A"/>
    <w:rsid w:val="002F6AEC"/>
    <w:rsid w:val="0031208C"/>
    <w:rsid w:val="00350DCB"/>
    <w:rsid w:val="00386BE3"/>
    <w:rsid w:val="0039238F"/>
    <w:rsid w:val="003C090B"/>
    <w:rsid w:val="003D0913"/>
    <w:rsid w:val="003D1228"/>
    <w:rsid w:val="003E4519"/>
    <w:rsid w:val="00412B6C"/>
    <w:rsid w:val="00424245"/>
    <w:rsid w:val="004245E4"/>
    <w:rsid w:val="00425560"/>
    <w:rsid w:val="004A78A2"/>
    <w:rsid w:val="004C2B39"/>
    <w:rsid w:val="004C483D"/>
    <w:rsid w:val="004C51B9"/>
    <w:rsid w:val="00510BD8"/>
    <w:rsid w:val="00520CA9"/>
    <w:rsid w:val="00523729"/>
    <w:rsid w:val="00527893"/>
    <w:rsid w:val="005826B0"/>
    <w:rsid w:val="005A4A60"/>
    <w:rsid w:val="005B5721"/>
    <w:rsid w:val="005D7E3D"/>
    <w:rsid w:val="005F2BB1"/>
    <w:rsid w:val="005F554A"/>
    <w:rsid w:val="00603B1D"/>
    <w:rsid w:val="00657645"/>
    <w:rsid w:val="0067771B"/>
    <w:rsid w:val="0068151E"/>
    <w:rsid w:val="0069343B"/>
    <w:rsid w:val="006A2058"/>
    <w:rsid w:val="006A723D"/>
    <w:rsid w:val="006C1792"/>
    <w:rsid w:val="006C244C"/>
    <w:rsid w:val="006C40B1"/>
    <w:rsid w:val="006D4A1E"/>
    <w:rsid w:val="00723745"/>
    <w:rsid w:val="0073507B"/>
    <w:rsid w:val="0076336E"/>
    <w:rsid w:val="00773221"/>
    <w:rsid w:val="00787E80"/>
    <w:rsid w:val="007C2349"/>
    <w:rsid w:val="007F1322"/>
    <w:rsid w:val="007F63F1"/>
    <w:rsid w:val="0080329E"/>
    <w:rsid w:val="008042A1"/>
    <w:rsid w:val="0080496B"/>
    <w:rsid w:val="008C708B"/>
    <w:rsid w:val="008D37A7"/>
    <w:rsid w:val="00961932"/>
    <w:rsid w:val="0099557A"/>
    <w:rsid w:val="009955F3"/>
    <w:rsid w:val="009C5010"/>
    <w:rsid w:val="00A17DE1"/>
    <w:rsid w:val="00A22111"/>
    <w:rsid w:val="00A52264"/>
    <w:rsid w:val="00A90A7D"/>
    <w:rsid w:val="00A91A1F"/>
    <w:rsid w:val="00AA72A1"/>
    <w:rsid w:val="00AB5B5A"/>
    <w:rsid w:val="00AB7EAF"/>
    <w:rsid w:val="00AF25A9"/>
    <w:rsid w:val="00AF3BA2"/>
    <w:rsid w:val="00B56C51"/>
    <w:rsid w:val="00B71BB4"/>
    <w:rsid w:val="00B723F0"/>
    <w:rsid w:val="00B72E84"/>
    <w:rsid w:val="00B76342"/>
    <w:rsid w:val="00B95D91"/>
    <w:rsid w:val="00BC0A49"/>
    <w:rsid w:val="00BC1463"/>
    <w:rsid w:val="00BC1DC0"/>
    <w:rsid w:val="00BC25AB"/>
    <w:rsid w:val="00BF2425"/>
    <w:rsid w:val="00C21E70"/>
    <w:rsid w:val="00C25777"/>
    <w:rsid w:val="00C51B09"/>
    <w:rsid w:val="00C5772C"/>
    <w:rsid w:val="00C812CE"/>
    <w:rsid w:val="00CA145B"/>
    <w:rsid w:val="00CB1348"/>
    <w:rsid w:val="00CE22A8"/>
    <w:rsid w:val="00D34BC9"/>
    <w:rsid w:val="00D4621F"/>
    <w:rsid w:val="00D511AB"/>
    <w:rsid w:val="00D767F3"/>
    <w:rsid w:val="00D87DB7"/>
    <w:rsid w:val="00DC7FFA"/>
    <w:rsid w:val="00E07DBB"/>
    <w:rsid w:val="00E13B6D"/>
    <w:rsid w:val="00E86912"/>
    <w:rsid w:val="00E959FA"/>
    <w:rsid w:val="00EA26E1"/>
    <w:rsid w:val="00EE1C3F"/>
    <w:rsid w:val="00EE33BF"/>
    <w:rsid w:val="00F05F90"/>
    <w:rsid w:val="00F16C64"/>
    <w:rsid w:val="00F80EF2"/>
    <w:rsid w:val="00FB1246"/>
    <w:rsid w:val="00FB189D"/>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C479D"/>
  <w15:docId w15:val="{F2D00123-8525-4ECA-AF12-FD06E405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61594/Developing_a_variety_of_assessment_method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eng.uaeu.ac.ae/en/departments/eru/abou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g.uaeu.ac.ae/en/about/index.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aeu.ac.ae/en/colleges.s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grdspublishing.org/journals-PEOPLE-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79599340575876"/>
          <c:y val="6.7856080880166522E-2"/>
          <c:w val="0.84455371430954729"/>
          <c:h val="0.67680782028230724"/>
        </c:manualLayout>
      </c:layout>
      <c:barChart>
        <c:barDir val="col"/>
        <c:grouping val="clustered"/>
        <c:varyColors val="0"/>
        <c:ser>
          <c:idx val="0"/>
          <c:order val="0"/>
          <c:tx>
            <c:strRef>
              <c:f>Sheet1!$C$1:$C$2</c:f>
              <c:strCache>
                <c:ptCount val="2"/>
                <c:pt idx="0">
                  <c:v>Fall 2019</c:v>
                </c:pt>
                <c:pt idx="1">
                  <c:v>Direct</c:v>
                </c:pt>
              </c:strCache>
            </c:strRef>
          </c:tx>
          <c:spPr>
            <a:pattFill prst="ltHorz">
              <a:fgClr>
                <a:schemeClr val="tx1"/>
              </a:fgClr>
              <a:bgClr>
                <a:schemeClr val="bg1"/>
              </a:bgClr>
            </a:pattFill>
            <a:ln>
              <a:solidFill>
                <a:schemeClr val="tx1"/>
              </a:solidFill>
            </a:ln>
            <a:effectLst/>
          </c:spPr>
          <c:invertIfNegative val="0"/>
          <c:cat>
            <c:strRef>
              <c:f>Sheet1!$B$3:$B$8</c:f>
              <c:strCache>
                <c:ptCount val="6"/>
                <c:pt idx="0">
                  <c:v>CLO1</c:v>
                </c:pt>
                <c:pt idx="1">
                  <c:v>CLO2</c:v>
                </c:pt>
                <c:pt idx="2">
                  <c:v>CLO3</c:v>
                </c:pt>
                <c:pt idx="3">
                  <c:v>CLO4</c:v>
                </c:pt>
                <c:pt idx="4">
                  <c:v>CLO5</c:v>
                </c:pt>
                <c:pt idx="5">
                  <c:v>CLO6</c:v>
                </c:pt>
              </c:strCache>
            </c:strRef>
          </c:cat>
          <c:val>
            <c:numRef>
              <c:f>Sheet1!$C$3:$C$8</c:f>
              <c:numCache>
                <c:formatCode>General</c:formatCode>
                <c:ptCount val="6"/>
                <c:pt idx="0">
                  <c:v>76</c:v>
                </c:pt>
                <c:pt idx="1">
                  <c:v>74</c:v>
                </c:pt>
                <c:pt idx="2">
                  <c:v>81</c:v>
                </c:pt>
                <c:pt idx="3">
                  <c:v>83</c:v>
                </c:pt>
                <c:pt idx="4">
                  <c:v>94</c:v>
                </c:pt>
                <c:pt idx="5">
                  <c:v>83</c:v>
                </c:pt>
              </c:numCache>
            </c:numRef>
          </c:val>
          <c:extLst>
            <c:ext xmlns:c16="http://schemas.microsoft.com/office/drawing/2014/chart" uri="{C3380CC4-5D6E-409C-BE32-E72D297353CC}">
              <c16:uniqueId val="{00000000-6F6E-4C58-8280-F6ED7D1A4F2D}"/>
            </c:ext>
          </c:extLst>
        </c:ser>
        <c:ser>
          <c:idx val="1"/>
          <c:order val="1"/>
          <c:tx>
            <c:strRef>
              <c:f>Sheet1!$D$1:$D$2</c:f>
              <c:strCache>
                <c:ptCount val="2"/>
                <c:pt idx="0">
                  <c:v>Fall 2020</c:v>
                </c:pt>
                <c:pt idx="1">
                  <c:v>Indirect</c:v>
                </c:pt>
              </c:strCache>
            </c:strRef>
          </c:tx>
          <c:spPr>
            <a:pattFill prst="pct5">
              <a:fgClr>
                <a:schemeClr val="tx1"/>
              </a:fgClr>
              <a:bgClr>
                <a:schemeClr val="bg1"/>
              </a:bgClr>
            </a:pattFill>
            <a:ln>
              <a:solidFill>
                <a:schemeClr val="tx1"/>
              </a:solidFill>
            </a:ln>
            <a:effectLst/>
          </c:spPr>
          <c:invertIfNegative val="0"/>
          <c:cat>
            <c:strRef>
              <c:f>Sheet1!$B$3:$B$8</c:f>
              <c:strCache>
                <c:ptCount val="6"/>
                <c:pt idx="0">
                  <c:v>CLO1</c:v>
                </c:pt>
                <c:pt idx="1">
                  <c:v>CLO2</c:v>
                </c:pt>
                <c:pt idx="2">
                  <c:v>CLO3</c:v>
                </c:pt>
                <c:pt idx="3">
                  <c:v>CLO4</c:v>
                </c:pt>
                <c:pt idx="4">
                  <c:v>CLO5</c:v>
                </c:pt>
                <c:pt idx="5">
                  <c:v>CLO6</c:v>
                </c:pt>
              </c:strCache>
            </c:strRef>
          </c:cat>
          <c:val>
            <c:numRef>
              <c:f>Sheet1!$D$3:$D$8</c:f>
              <c:numCache>
                <c:formatCode>General</c:formatCode>
                <c:ptCount val="6"/>
                <c:pt idx="0">
                  <c:v>88</c:v>
                </c:pt>
                <c:pt idx="1">
                  <c:v>92</c:v>
                </c:pt>
                <c:pt idx="2">
                  <c:v>90</c:v>
                </c:pt>
                <c:pt idx="3">
                  <c:v>85</c:v>
                </c:pt>
                <c:pt idx="4">
                  <c:v>84</c:v>
                </c:pt>
                <c:pt idx="5">
                  <c:v>83</c:v>
                </c:pt>
              </c:numCache>
            </c:numRef>
          </c:val>
          <c:extLst>
            <c:ext xmlns:c16="http://schemas.microsoft.com/office/drawing/2014/chart" uri="{C3380CC4-5D6E-409C-BE32-E72D297353CC}">
              <c16:uniqueId val="{00000001-6F6E-4C58-8280-F6ED7D1A4F2D}"/>
            </c:ext>
          </c:extLst>
        </c:ser>
        <c:ser>
          <c:idx val="2"/>
          <c:order val="2"/>
          <c:tx>
            <c:strRef>
              <c:f>Sheet1!$E$1:$E$2</c:f>
              <c:strCache>
                <c:ptCount val="2"/>
                <c:pt idx="0">
                  <c:v>Spring 2020</c:v>
                </c:pt>
                <c:pt idx="1">
                  <c:v>Direct</c:v>
                </c:pt>
              </c:strCache>
            </c:strRef>
          </c:tx>
          <c:spPr>
            <a:pattFill prst="openDmnd">
              <a:fgClr>
                <a:schemeClr val="tx1"/>
              </a:fgClr>
              <a:bgClr>
                <a:schemeClr val="bg1"/>
              </a:bgClr>
            </a:pattFill>
            <a:ln>
              <a:solidFill>
                <a:schemeClr val="tx1"/>
              </a:solidFill>
            </a:ln>
            <a:effectLst/>
          </c:spPr>
          <c:invertIfNegative val="0"/>
          <c:cat>
            <c:strRef>
              <c:f>Sheet1!$B$3:$B$8</c:f>
              <c:strCache>
                <c:ptCount val="6"/>
                <c:pt idx="0">
                  <c:v>CLO1</c:v>
                </c:pt>
                <c:pt idx="1">
                  <c:v>CLO2</c:v>
                </c:pt>
                <c:pt idx="2">
                  <c:v>CLO3</c:v>
                </c:pt>
                <c:pt idx="3">
                  <c:v>CLO4</c:v>
                </c:pt>
                <c:pt idx="4">
                  <c:v>CLO5</c:v>
                </c:pt>
                <c:pt idx="5">
                  <c:v>CLO6</c:v>
                </c:pt>
              </c:strCache>
            </c:strRef>
          </c:cat>
          <c:val>
            <c:numRef>
              <c:f>Sheet1!$E$3:$E$8</c:f>
              <c:numCache>
                <c:formatCode>General</c:formatCode>
                <c:ptCount val="6"/>
                <c:pt idx="0">
                  <c:v>78</c:v>
                </c:pt>
                <c:pt idx="1">
                  <c:v>79</c:v>
                </c:pt>
                <c:pt idx="2">
                  <c:v>83</c:v>
                </c:pt>
                <c:pt idx="3">
                  <c:v>79</c:v>
                </c:pt>
                <c:pt idx="4">
                  <c:v>92</c:v>
                </c:pt>
                <c:pt idx="5">
                  <c:v>79</c:v>
                </c:pt>
              </c:numCache>
            </c:numRef>
          </c:val>
          <c:extLst>
            <c:ext xmlns:c16="http://schemas.microsoft.com/office/drawing/2014/chart" uri="{C3380CC4-5D6E-409C-BE32-E72D297353CC}">
              <c16:uniqueId val="{00000002-6F6E-4C58-8280-F6ED7D1A4F2D}"/>
            </c:ext>
          </c:extLst>
        </c:ser>
        <c:ser>
          <c:idx val="3"/>
          <c:order val="3"/>
          <c:tx>
            <c:strRef>
              <c:f>Sheet1!$F$1:$F$2</c:f>
              <c:strCache>
                <c:ptCount val="2"/>
                <c:pt idx="0">
                  <c:v>Spring 2021</c:v>
                </c:pt>
                <c:pt idx="1">
                  <c:v>Indirect</c:v>
                </c:pt>
              </c:strCache>
            </c:strRef>
          </c:tx>
          <c:spPr>
            <a:solidFill>
              <a:schemeClr val="tx1"/>
            </a:solidFill>
            <a:ln>
              <a:noFill/>
            </a:ln>
            <a:effectLst/>
          </c:spPr>
          <c:invertIfNegative val="0"/>
          <c:cat>
            <c:strRef>
              <c:f>Sheet1!$B$3:$B$8</c:f>
              <c:strCache>
                <c:ptCount val="6"/>
                <c:pt idx="0">
                  <c:v>CLO1</c:v>
                </c:pt>
                <c:pt idx="1">
                  <c:v>CLO2</c:v>
                </c:pt>
                <c:pt idx="2">
                  <c:v>CLO3</c:v>
                </c:pt>
                <c:pt idx="3">
                  <c:v>CLO4</c:v>
                </c:pt>
                <c:pt idx="4">
                  <c:v>CLO5</c:v>
                </c:pt>
                <c:pt idx="5">
                  <c:v>CLO6</c:v>
                </c:pt>
              </c:strCache>
            </c:strRef>
          </c:cat>
          <c:val>
            <c:numRef>
              <c:f>Sheet1!$F$3:$F$8</c:f>
              <c:numCache>
                <c:formatCode>General</c:formatCode>
                <c:ptCount val="6"/>
                <c:pt idx="0">
                  <c:v>82</c:v>
                </c:pt>
                <c:pt idx="1">
                  <c:v>88</c:v>
                </c:pt>
                <c:pt idx="2">
                  <c:v>79</c:v>
                </c:pt>
                <c:pt idx="3">
                  <c:v>77</c:v>
                </c:pt>
                <c:pt idx="4">
                  <c:v>73</c:v>
                </c:pt>
                <c:pt idx="5">
                  <c:v>93</c:v>
                </c:pt>
              </c:numCache>
            </c:numRef>
          </c:val>
          <c:extLst>
            <c:ext xmlns:c16="http://schemas.microsoft.com/office/drawing/2014/chart" uri="{C3380CC4-5D6E-409C-BE32-E72D297353CC}">
              <c16:uniqueId val="{00000003-6F6E-4C58-8280-F6ED7D1A4F2D}"/>
            </c:ext>
          </c:extLst>
        </c:ser>
        <c:dLbls>
          <c:showLegendKey val="0"/>
          <c:showVal val="0"/>
          <c:showCatName val="0"/>
          <c:showSerName val="0"/>
          <c:showPercent val="0"/>
          <c:showBubbleSize val="0"/>
        </c:dLbls>
        <c:gapWidth val="219"/>
        <c:overlap val="-27"/>
        <c:axId val="504692448"/>
        <c:axId val="504693432"/>
      </c:barChart>
      <c:catAx>
        <c:axId val="50469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04693432"/>
        <c:crosses val="autoZero"/>
        <c:auto val="1"/>
        <c:lblAlgn val="ctr"/>
        <c:lblOffset val="100"/>
        <c:noMultiLvlLbl val="0"/>
      </c:catAx>
      <c:valAx>
        <c:axId val="504693432"/>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a:t>Percentage</a:t>
                </a:r>
              </a:p>
            </c:rich>
          </c:tx>
          <c:layout>
            <c:manualLayout>
              <c:xMode val="edge"/>
              <c:yMode val="edge"/>
              <c:x val="5.5295917672961575E-4"/>
              <c:y val="0.299015378983138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cross"/>
        <c:minorTickMark val="in"/>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04692448"/>
        <c:crosses val="autoZero"/>
        <c:crossBetween val="between"/>
      </c:valAx>
      <c:spPr>
        <a:noFill/>
        <a:ln w="12700" cmpd="sng">
          <a:solidFill>
            <a:schemeClr val="tx1"/>
          </a:solidFill>
        </a:ln>
        <a:effectLst/>
      </c:spPr>
    </c:plotArea>
    <c:legend>
      <c:legendPos val="b"/>
      <c:layout>
        <c:manualLayout>
          <c:xMode val="edge"/>
          <c:yMode val="edge"/>
          <c:x val="8.6363540921021234E-2"/>
          <c:y val="0.81705217267110108"/>
          <c:w val="0.9"/>
          <c:h val="0.153069180357807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666F87"/>
    <w:rsid w:val="002E74D5"/>
    <w:rsid w:val="004B22CA"/>
    <w:rsid w:val="00666F87"/>
    <w:rsid w:val="00D46B1C"/>
    <w:rsid w:val="00EA4AD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5CF397044FB4895E04338E6DF2CCF">
    <w:name w:val="EF65CF397044FB4895E04338E6DF2CCF"/>
    <w:rsid w:val="00666F87"/>
  </w:style>
  <w:style w:type="paragraph" w:customStyle="1" w:styleId="D20FB7EF9F8D1D48A7BA1D2E7B26FA63">
    <w:name w:val="D20FB7EF9F8D1D48A7BA1D2E7B26FA63"/>
    <w:rsid w:val="00666F87"/>
  </w:style>
  <w:style w:type="paragraph" w:customStyle="1" w:styleId="B3EF48BFA5610144A15C12706578C744">
    <w:name w:val="B3EF48BFA5610144A15C12706578C744"/>
    <w:rsid w:val="00666F87"/>
  </w:style>
  <w:style w:type="paragraph" w:customStyle="1" w:styleId="C957D6E7DE4D4045AE42C5080F188A83">
    <w:name w:val="C957D6E7DE4D4045AE42C5080F188A83"/>
    <w:rsid w:val="00666F87"/>
  </w:style>
  <w:style w:type="paragraph" w:customStyle="1" w:styleId="D6A87F109F2601438D5D904BC0F699A3">
    <w:name w:val="D6A87F109F2601438D5D904BC0F699A3"/>
    <w:rsid w:val="00666F87"/>
  </w:style>
  <w:style w:type="paragraph" w:customStyle="1" w:styleId="D2BA1C04735FE043A2C4263DFF1F2DFB">
    <w:name w:val="D2BA1C04735FE043A2C4263DFF1F2DFB"/>
    <w:rsid w:val="00666F87"/>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 w:type="paragraph" w:customStyle="1" w:styleId="4490F9C589C1BB44AFD063EE6F7399D0">
    <w:name w:val="4490F9C589C1BB44AFD063EE6F7399D0"/>
    <w:rsid w:val="00666F87"/>
  </w:style>
  <w:style w:type="paragraph" w:customStyle="1" w:styleId="50D3DBB7FE73B643BCBE27145E11F8BF">
    <w:name w:val="50D3DBB7FE73B643BCBE27145E11F8BF"/>
    <w:rsid w:val="00666F87"/>
  </w:style>
  <w:style w:type="paragraph" w:customStyle="1" w:styleId="DDA6B5B21F3C35498C60F01BA54D7DDF">
    <w:name w:val="DDA6B5B21F3C35498C60F01BA54D7DDF"/>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159</TotalTime>
  <Pages>11</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Maatouk Khoukhi</cp:lastModifiedBy>
  <cp:revision>13</cp:revision>
  <dcterms:created xsi:type="dcterms:W3CDTF">2021-02-16T08:00:00Z</dcterms:created>
  <dcterms:modified xsi:type="dcterms:W3CDTF">2021-02-16T11:29:00Z</dcterms:modified>
</cp:coreProperties>
</file>